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B5D6A" w14:textId="3399919C" w:rsidR="00EE657A" w:rsidRPr="00EE657A" w:rsidRDefault="00EE657A" w:rsidP="00EE657A">
      <w:pPr>
        <w:spacing w:after="0"/>
        <w:jc w:val="center"/>
        <w:rPr>
          <w:rFonts w:ascii="Arial" w:eastAsia="Arial" w:hAnsi="Arial" w:cs="Arial"/>
          <w:b/>
          <w:bCs/>
          <w:sz w:val="20"/>
          <w:szCs w:val="20"/>
        </w:rPr>
      </w:pPr>
      <w:r w:rsidRPr="00EE657A">
        <w:rPr>
          <w:rFonts w:ascii="Arial" w:eastAsia="Arial" w:hAnsi="Arial" w:cs="Arial"/>
          <w:b/>
          <w:bCs/>
          <w:sz w:val="20"/>
          <w:szCs w:val="20"/>
        </w:rPr>
        <w:t>ODS 4 - SOLUCIÓN VIAL A LA INTERSECCIÓN CRUCERO DE COMBIA</w:t>
      </w:r>
    </w:p>
    <w:p w14:paraId="51BAD361" w14:textId="6C7111CB" w:rsidR="00EE657A" w:rsidRDefault="00EE657A" w:rsidP="00EE657A">
      <w:pPr>
        <w:jc w:val="center"/>
        <w:rPr>
          <w:rFonts w:ascii="Arial" w:hAnsi="Arial" w:cs="Arial"/>
          <w:b/>
          <w:bCs/>
          <w:sz w:val="20"/>
          <w:szCs w:val="20"/>
        </w:rPr>
      </w:pPr>
      <w:r w:rsidRPr="00EE657A">
        <w:rPr>
          <w:rFonts w:ascii="Arial" w:hAnsi="Arial" w:cs="Arial"/>
          <w:b/>
          <w:bCs/>
          <w:sz w:val="20"/>
          <w:szCs w:val="20"/>
        </w:rPr>
        <w:t>DESCRIPCION Y ALCANCES DE LOS ESTUDIOS</w:t>
      </w:r>
    </w:p>
    <w:p w14:paraId="49669963" w14:textId="77777777" w:rsidR="00AD3AF3" w:rsidRPr="00EE657A" w:rsidRDefault="00AD3AF3" w:rsidP="00EE657A">
      <w:pPr>
        <w:jc w:val="center"/>
        <w:rPr>
          <w:rFonts w:ascii="Arial" w:hAnsi="Arial" w:cs="Arial"/>
          <w:b/>
          <w:bCs/>
          <w:sz w:val="20"/>
          <w:szCs w:val="20"/>
        </w:rPr>
      </w:pPr>
    </w:p>
    <w:p w14:paraId="2C7157FE" w14:textId="1B1E54B4" w:rsidR="00AD3AF3" w:rsidRDefault="00AD3AF3" w:rsidP="00EE657A">
      <w:pPr>
        <w:jc w:val="both"/>
        <w:rPr>
          <w:rFonts w:ascii="Arial" w:hAnsi="Arial" w:cs="Arial"/>
          <w:sz w:val="20"/>
          <w:szCs w:val="20"/>
        </w:rPr>
      </w:pPr>
      <w:r w:rsidRPr="00AD3AF3">
        <w:rPr>
          <w:rFonts w:ascii="Arial" w:hAnsi="Arial" w:cs="Arial"/>
          <w:sz w:val="20"/>
          <w:szCs w:val="20"/>
        </w:rPr>
        <w:t>Volumen</w:t>
      </w:r>
      <w:r>
        <w:rPr>
          <w:rFonts w:ascii="Arial" w:hAnsi="Arial" w:cs="Arial"/>
          <w:sz w:val="20"/>
          <w:szCs w:val="20"/>
        </w:rPr>
        <w:t xml:space="preserve"> </w:t>
      </w:r>
      <w:r w:rsidRPr="00AD3AF3">
        <w:rPr>
          <w:rFonts w:ascii="Arial" w:hAnsi="Arial" w:cs="Arial"/>
          <w:sz w:val="20"/>
          <w:szCs w:val="20"/>
        </w:rPr>
        <w:t>1</w:t>
      </w:r>
      <w:r>
        <w:rPr>
          <w:rFonts w:ascii="Arial" w:hAnsi="Arial" w:cs="Arial"/>
          <w:sz w:val="20"/>
          <w:szCs w:val="20"/>
        </w:rPr>
        <w:t xml:space="preserve">. </w:t>
      </w:r>
      <w:r w:rsidRPr="00AD3AF3">
        <w:rPr>
          <w:rFonts w:ascii="Arial" w:hAnsi="Arial" w:cs="Arial"/>
          <w:sz w:val="20"/>
          <w:szCs w:val="20"/>
        </w:rPr>
        <w:t xml:space="preserve">LEVANTAMIENTO TOPOGRÁFICO Y GEOMÉTRICO </w:t>
      </w:r>
    </w:p>
    <w:p w14:paraId="578026F0" w14:textId="68B190B7" w:rsidR="00AD3AF3" w:rsidRPr="00AD3AF3" w:rsidRDefault="00AD3AF3" w:rsidP="00AD3AF3">
      <w:pPr>
        <w:jc w:val="both"/>
        <w:rPr>
          <w:rFonts w:ascii="Arial" w:hAnsi="Arial" w:cs="Arial"/>
          <w:sz w:val="20"/>
          <w:szCs w:val="20"/>
        </w:rPr>
      </w:pPr>
      <w:r w:rsidRPr="00AD3AF3">
        <w:rPr>
          <w:rFonts w:ascii="Arial" w:hAnsi="Arial" w:cs="Arial"/>
          <w:sz w:val="20"/>
          <w:szCs w:val="20"/>
        </w:rPr>
        <w:t>El levantamiento topográfico tiene por objeto obtener la información planimétrica y altimétrica detallada y precisa del área de influencia de la intersección Crucero de Combia, que servirá como base para la formulación de alternativas geométricas y operativas del proyecto. El levantamiento deberá representar fielmente las condiciones del terreno y los elementos existentes que inciden en la movilidad y la operación de la intersección.</w:t>
      </w:r>
    </w:p>
    <w:p w14:paraId="0695BA6F" w14:textId="618E55D2" w:rsidR="00AD3AF3" w:rsidRDefault="00AD3AF3" w:rsidP="00AD3AF3">
      <w:pPr>
        <w:jc w:val="both"/>
        <w:rPr>
          <w:rFonts w:ascii="Arial" w:hAnsi="Arial" w:cs="Arial"/>
          <w:sz w:val="20"/>
          <w:szCs w:val="20"/>
        </w:rPr>
      </w:pPr>
      <w:r w:rsidRPr="00AD3AF3">
        <w:rPr>
          <w:rFonts w:ascii="Arial" w:hAnsi="Arial" w:cs="Arial"/>
          <w:sz w:val="20"/>
          <w:szCs w:val="20"/>
        </w:rPr>
        <w:t>El área de trabajo comprenderá la intersección y sus ramales de conexión</w:t>
      </w:r>
      <w:r>
        <w:rPr>
          <w:rFonts w:ascii="Arial" w:hAnsi="Arial" w:cs="Arial"/>
          <w:sz w:val="20"/>
          <w:szCs w:val="20"/>
        </w:rPr>
        <w:t xml:space="preserve"> </w:t>
      </w:r>
      <w:r w:rsidRPr="007F4E1C">
        <w:rPr>
          <w:rFonts w:ascii="Arial" w:eastAsia="Arial" w:hAnsi="Arial" w:cs="Arial"/>
          <w:bCs/>
          <w:sz w:val="20"/>
          <w:szCs w:val="20"/>
        </w:rPr>
        <w:t xml:space="preserve">(mínimo </w:t>
      </w:r>
      <w:r w:rsidR="00800341">
        <w:rPr>
          <w:rFonts w:ascii="Arial" w:eastAsia="Arial" w:hAnsi="Arial" w:cs="Arial"/>
          <w:bCs/>
          <w:sz w:val="20"/>
          <w:szCs w:val="20"/>
        </w:rPr>
        <w:t>2</w:t>
      </w:r>
      <w:r w:rsidRPr="007F4E1C">
        <w:rPr>
          <w:rFonts w:ascii="Arial" w:eastAsia="Arial" w:hAnsi="Arial" w:cs="Arial"/>
          <w:bCs/>
          <w:sz w:val="20"/>
          <w:szCs w:val="20"/>
        </w:rPr>
        <w:t>00m en cada acceso)</w:t>
      </w:r>
      <w:r w:rsidRPr="00AD3AF3">
        <w:rPr>
          <w:rFonts w:ascii="Arial" w:hAnsi="Arial" w:cs="Arial"/>
          <w:sz w:val="20"/>
          <w:szCs w:val="20"/>
        </w:rPr>
        <w:t>, incluyendo las zonas inmediatas de influencia que sean necesarias para el análisis y la evaluación de alternativas. Se deberán representar con precisión calzadas, bordillos, sardineles, bermas, andenes, cunetas, separadores, obras y estructuras existentes, postes, mobiliario urbano, señalización, accesos prediales, edificaciones, cercas, árboles significativos, arroyos o cauces y cualquier otro elemento físico relevante para el desarrollo del estudio.</w:t>
      </w:r>
    </w:p>
    <w:p w14:paraId="3B4C406E" w14:textId="02647E96" w:rsidR="00AD3AF3" w:rsidRPr="00AD3AF3" w:rsidRDefault="00AD3AF3" w:rsidP="00AD3AF3">
      <w:pPr>
        <w:jc w:val="both"/>
        <w:rPr>
          <w:rFonts w:ascii="Arial" w:hAnsi="Arial" w:cs="Arial"/>
          <w:sz w:val="20"/>
          <w:szCs w:val="20"/>
        </w:rPr>
      </w:pPr>
      <w:r w:rsidRPr="00AD3AF3">
        <w:rPr>
          <w:rFonts w:ascii="Arial" w:hAnsi="Arial" w:cs="Arial"/>
          <w:sz w:val="20"/>
          <w:szCs w:val="20"/>
        </w:rPr>
        <w:t>El levantamiento se realizará mediante estación total como método principal. Todos los detalles se tomarán con estación total y serán guardados en memoria interna</w:t>
      </w:r>
      <w:r>
        <w:rPr>
          <w:rFonts w:ascii="Arial" w:hAnsi="Arial" w:cs="Arial"/>
          <w:sz w:val="20"/>
          <w:szCs w:val="20"/>
        </w:rPr>
        <w:t xml:space="preserve"> y el </w:t>
      </w:r>
      <w:r w:rsidRPr="00AD3AF3">
        <w:rPr>
          <w:rFonts w:ascii="Arial" w:hAnsi="Arial" w:cs="Arial"/>
          <w:sz w:val="20"/>
          <w:szCs w:val="20"/>
        </w:rPr>
        <w:t>consultor deberá establecer una red de control local suficiente para garantizar la trazabilidad y la precisión de las mediciones, y documentar las fichas de campo, croquis y procedimientos aplicados.</w:t>
      </w:r>
    </w:p>
    <w:p w14:paraId="6836BAA9" w14:textId="2C2E3B36" w:rsidR="00AD3AF3" w:rsidRPr="00AD3AF3" w:rsidRDefault="00AD3AF3" w:rsidP="00AD3AF3">
      <w:pPr>
        <w:jc w:val="both"/>
        <w:rPr>
          <w:rFonts w:ascii="Arial" w:hAnsi="Arial" w:cs="Arial"/>
          <w:sz w:val="20"/>
          <w:szCs w:val="20"/>
        </w:rPr>
      </w:pPr>
      <w:r w:rsidRPr="00AD3AF3">
        <w:rPr>
          <w:rFonts w:ascii="Arial" w:hAnsi="Arial" w:cs="Arial"/>
          <w:sz w:val="20"/>
          <w:szCs w:val="20"/>
        </w:rPr>
        <w:t>El consultor tendrá la potestad de proponer una metodología alternativa (por ejemplo: GPS diferencial/RTK, fotogrametría con dron o LiDAR), siempre que presente una justificación técnica y un comparativo económico que demuestre ventajas frente al método basado en estación total. Cualquier cambio metodológico estará sujeto a aprobación por parte de la supervisión</w:t>
      </w:r>
      <w:r w:rsidR="00454141">
        <w:rPr>
          <w:rFonts w:ascii="Arial" w:hAnsi="Arial" w:cs="Arial"/>
          <w:sz w:val="20"/>
          <w:szCs w:val="20"/>
        </w:rPr>
        <w:t xml:space="preserve"> luego de que sea viabilizado por la interventoría</w:t>
      </w:r>
      <w:r w:rsidRPr="00AD3AF3">
        <w:rPr>
          <w:rFonts w:ascii="Arial" w:hAnsi="Arial" w:cs="Arial"/>
          <w:sz w:val="20"/>
          <w:szCs w:val="20"/>
        </w:rPr>
        <w:t>.</w:t>
      </w:r>
    </w:p>
    <w:p w14:paraId="1FF2853D" w14:textId="16A3E11B" w:rsidR="00AD3AF3" w:rsidRDefault="00AD3AF3" w:rsidP="00AD3AF3">
      <w:pPr>
        <w:jc w:val="both"/>
        <w:rPr>
          <w:rFonts w:ascii="Arial" w:hAnsi="Arial" w:cs="Arial"/>
          <w:sz w:val="20"/>
          <w:szCs w:val="20"/>
        </w:rPr>
      </w:pPr>
      <w:r w:rsidRPr="00AD3AF3">
        <w:rPr>
          <w:rFonts w:ascii="Arial" w:hAnsi="Arial" w:cs="Arial"/>
          <w:sz w:val="20"/>
          <w:szCs w:val="20"/>
        </w:rPr>
        <w:t>Se preverá y ejecutará la rocería selectiva en las zonas laterales o puntos de difícil acceso cuando sea necesaria para garantizar la visibilidad y la exactitud del levantamiento; dicha actividad deberá estar incluida en la propuesta económica.</w:t>
      </w:r>
    </w:p>
    <w:p w14:paraId="317F62CA" w14:textId="621186EB" w:rsidR="00AD3AF3" w:rsidRPr="00EE657A" w:rsidRDefault="00AD3AF3" w:rsidP="00AD3AF3">
      <w:pPr>
        <w:jc w:val="both"/>
        <w:rPr>
          <w:rFonts w:ascii="Arial" w:hAnsi="Arial" w:cs="Arial"/>
          <w:sz w:val="20"/>
          <w:szCs w:val="20"/>
        </w:rPr>
      </w:pPr>
      <w:r>
        <w:rPr>
          <w:rFonts w:ascii="Arial" w:hAnsi="Arial" w:cs="Arial"/>
          <w:sz w:val="20"/>
          <w:szCs w:val="20"/>
        </w:rPr>
        <w:t>1</w:t>
      </w:r>
      <w:r w:rsidRPr="00EE657A">
        <w:rPr>
          <w:rFonts w:ascii="Arial" w:hAnsi="Arial" w:cs="Arial"/>
          <w:sz w:val="20"/>
          <w:szCs w:val="20"/>
        </w:rPr>
        <w:t>.1 Entregables</w:t>
      </w:r>
    </w:p>
    <w:p w14:paraId="43FEB4FB" w14:textId="37EF10D3" w:rsidR="00AD3AF3" w:rsidRDefault="00AD3AF3" w:rsidP="00AD3AF3">
      <w:pPr>
        <w:jc w:val="both"/>
        <w:rPr>
          <w:rFonts w:ascii="Arial" w:hAnsi="Arial" w:cs="Arial"/>
          <w:sz w:val="20"/>
          <w:szCs w:val="20"/>
        </w:rPr>
      </w:pPr>
      <w:r>
        <w:rPr>
          <w:rFonts w:ascii="Arial" w:hAnsi="Arial" w:cs="Arial"/>
          <w:sz w:val="20"/>
          <w:szCs w:val="20"/>
        </w:rPr>
        <w:t xml:space="preserve">- </w:t>
      </w:r>
      <w:r w:rsidRPr="00AD3AF3">
        <w:rPr>
          <w:rFonts w:ascii="Arial" w:hAnsi="Arial" w:cs="Arial"/>
          <w:sz w:val="20"/>
          <w:szCs w:val="20"/>
        </w:rPr>
        <w:t>Plan de trabajo y cronograma del levantamiento topográfico, con especificación de puntos de control, personal responsable y calendario de actividades.</w:t>
      </w:r>
    </w:p>
    <w:p w14:paraId="59E487A5" w14:textId="03783ACD" w:rsidR="00AD3AF3" w:rsidRDefault="00AD3AF3" w:rsidP="00AD3AF3">
      <w:pPr>
        <w:jc w:val="both"/>
        <w:rPr>
          <w:rFonts w:ascii="Arial" w:hAnsi="Arial" w:cs="Arial"/>
          <w:sz w:val="20"/>
          <w:szCs w:val="20"/>
        </w:rPr>
      </w:pPr>
      <w:r>
        <w:rPr>
          <w:rFonts w:ascii="Arial" w:hAnsi="Arial" w:cs="Arial"/>
          <w:sz w:val="20"/>
          <w:szCs w:val="20"/>
        </w:rPr>
        <w:t xml:space="preserve">- Informe denominado </w:t>
      </w:r>
      <w:r w:rsidRPr="00AD3AF3">
        <w:rPr>
          <w:rFonts w:ascii="Arial" w:hAnsi="Arial" w:cs="Arial"/>
          <w:sz w:val="20"/>
          <w:szCs w:val="20"/>
        </w:rPr>
        <w:t>Volumen</w:t>
      </w:r>
      <w:r>
        <w:rPr>
          <w:rFonts w:ascii="Arial" w:hAnsi="Arial" w:cs="Arial"/>
          <w:sz w:val="20"/>
          <w:szCs w:val="20"/>
        </w:rPr>
        <w:t xml:space="preserve"> </w:t>
      </w:r>
      <w:r w:rsidRPr="00AD3AF3">
        <w:rPr>
          <w:rFonts w:ascii="Arial" w:hAnsi="Arial" w:cs="Arial"/>
          <w:sz w:val="20"/>
          <w:szCs w:val="20"/>
        </w:rPr>
        <w:t>1</w:t>
      </w:r>
      <w:r>
        <w:rPr>
          <w:rFonts w:ascii="Arial" w:hAnsi="Arial" w:cs="Arial"/>
          <w:sz w:val="20"/>
          <w:szCs w:val="20"/>
        </w:rPr>
        <w:t xml:space="preserve">. </w:t>
      </w:r>
      <w:r w:rsidRPr="00AD3AF3">
        <w:rPr>
          <w:rFonts w:ascii="Arial" w:hAnsi="Arial" w:cs="Arial"/>
          <w:sz w:val="20"/>
          <w:szCs w:val="20"/>
        </w:rPr>
        <w:t xml:space="preserve">LEVANTAMIENTO TOPOGRÁFICO Y GEOMÉTRICO </w:t>
      </w:r>
      <w:r>
        <w:rPr>
          <w:rFonts w:ascii="Arial" w:hAnsi="Arial" w:cs="Arial"/>
          <w:sz w:val="20"/>
          <w:szCs w:val="20"/>
        </w:rPr>
        <w:t>que contenga como mínimo lo siguiente:</w:t>
      </w:r>
    </w:p>
    <w:p w14:paraId="0E4E7473" w14:textId="4265B319" w:rsidR="00D429F2" w:rsidRDefault="00D429F2" w:rsidP="00AD3AF3">
      <w:pPr>
        <w:jc w:val="both"/>
        <w:rPr>
          <w:rFonts w:ascii="Arial" w:hAnsi="Arial" w:cs="Arial"/>
          <w:sz w:val="20"/>
          <w:szCs w:val="20"/>
        </w:rPr>
      </w:pPr>
      <w:r>
        <w:rPr>
          <w:rFonts w:ascii="Arial" w:hAnsi="Arial" w:cs="Arial"/>
          <w:sz w:val="20"/>
          <w:szCs w:val="20"/>
        </w:rPr>
        <w:t xml:space="preserve">a. </w:t>
      </w:r>
      <w:r w:rsidRPr="00D429F2">
        <w:rPr>
          <w:rFonts w:ascii="Arial" w:hAnsi="Arial" w:cs="Arial"/>
          <w:sz w:val="20"/>
          <w:szCs w:val="20"/>
        </w:rPr>
        <w:t>Red de control georreferenciada, documentada con cuadro de coordenadas y fichas de cada punto de apoyo (BM), indicando su condición y notas de monumentación</w:t>
      </w:r>
    </w:p>
    <w:p w14:paraId="6D9BC135" w14:textId="2C2C625F" w:rsidR="00D429F2" w:rsidRDefault="00D429F2" w:rsidP="00D429F2">
      <w:pPr>
        <w:jc w:val="both"/>
        <w:rPr>
          <w:rFonts w:ascii="Arial" w:hAnsi="Arial" w:cs="Arial"/>
          <w:sz w:val="20"/>
          <w:szCs w:val="20"/>
        </w:rPr>
      </w:pPr>
      <w:r>
        <w:rPr>
          <w:rFonts w:ascii="Arial" w:hAnsi="Arial" w:cs="Arial"/>
          <w:sz w:val="20"/>
          <w:szCs w:val="20"/>
        </w:rPr>
        <w:t>b</w:t>
      </w:r>
      <w:r w:rsidR="00AD3AF3">
        <w:rPr>
          <w:rFonts w:ascii="Arial" w:hAnsi="Arial" w:cs="Arial"/>
          <w:sz w:val="20"/>
          <w:szCs w:val="20"/>
        </w:rPr>
        <w:t xml:space="preserve">. </w:t>
      </w:r>
      <w:r w:rsidRPr="00D429F2">
        <w:rPr>
          <w:rFonts w:ascii="Arial" w:hAnsi="Arial" w:cs="Arial"/>
          <w:sz w:val="20"/>
          <w:szCs w:val="20"/>
        </w:rPr>
        <w:t>Cartera de campo (física y digital)</w:t>
      </w:r>
      <w:r>
        <w:rPr>
          <w:rFonts w:ascii="Arial" w:hAnsi="Arial" w:cs="Arial"/>
          <w:sz w:val="20"/>
          <w:szCs w:val="20"/>
        </w:rPr>
        <w:t xml:space="preserve"> que incluya</w:t>
      </w:r>
      <w:r w:rsidRPr="00D429F2">
        <w:rPr>
          <w:rFonts w:ascii="Arial" w:hAnsi="Arial" w:cs="Arial"/>
          <w:sz w:val="20"/>
          <w:szCs w:val="20"/>
        </w:rPr>
        <w:t>:</w:t>
      </w:r>
      <w:r>
        <w:rPr>
          <w:rFonts w:ascii="Arial" w:hAnsi="Arial" w:cs="Arial"/>
          <w:sz w:val="20"/>
          <w:szCs w:val="20"/>
        </w:rPr>
        <w:t xml:space="preserve"> g</w:t>
      </w:r>
      <w:r w:rsidRPr="00D429F2">
        <w:rPr>
          <w:rFonts w:ascii="Arial" w:hAnsi="Arial" w:cs="Arial"/>
          <w:sz w:val="20"/>
          <w:szCs w:val="20"/>
        </w:rPr>
        <w:t>ráficos aproximados del área de trabajo con rumbos, sardineles, paramentos, curvas, separadores, nombres y numeración de predios, nomenclaturas y anotaciones relevantes</w:t>
      </w:r>
      <w:r>
        <w:rPr>
          <w:rFonts w:ascii="Arial" w:hAnsi="Arial" w:cs="Arial"/>
          <w:sz w:val="20"/>
          <w:szCs w:val="20"/>
        </w:rPr>
        <w:t>,</w:t>
      </w:r>
      <w:r w:rsidRPr="00D429F2">
        <w:rPr>
          <w:rFonts w:ascii="Arial" w:hAnsi="Arial" w:cs="Arial"/>
          <w:sz w:val="20"/>
          <w:szCs w:val="20"/>
        </w:rPr>
        <w:t xml:space="preserve"> no se aceptarán únicamente listados de datos</w:t>
      </w:r>
      <w:r>
        <w:rPr>
          <w:rFonts w:ascii="Arial" w:hAnsi="Arial" w:cs="Arial"/>
          <w:sz w:val="20"/>
          <w:szCs w:val="20"/>
        </w:rPr>
        <w:t>,</w:t>
      </w:r>
      <w:r w:rsidRPr="00D429F2">
        <w:rPr>
          <w:rFonts w:ascii="Arial" w:hAnsi="Arial" w:cs="Arial"/>
          <w:sz w:val="20"/>
          <w:szCs w:val="20"/>
        </w:rPr>
        <w:t xml:space="preserve"> la cartera debe contener representaciones gráficas que orienten los trabajos de oficina.</w:t>
      </w:r>
    </w:p>
    <w:p w14:paraId="5E9E430D" w14:textId="087F945B" w:rsidR="00D429F2" w:rsidRDefault="00D429F2" w:rsidP="00D429F2">
      <w:pPr>
        <w:jc w:val="both"/>
        <w:rPr>
          <w:rFonts w:ascii="Arial" w:hAnsi="Arial" w:cs="Arial"/>
          <w:sz w:val="20"/>
          <w:szCs w:val="20"/>
        </w:rPr>
      </w:pPr>
      <w:r>
        <w:rPr>
          <w:rFonts w:ascii="Arial" w:hAnsi="Arial" w:cs="Arial"/>
          <w:sz w:val="20"/>
          <w:szCs w:val="20"/>
        </w:rPr>
        <w:t>c. L</w:t>
      </w:r>
      <w:r w:rsidRPr="00D429F2">
        <w:rPr>
          <w:rFonts w:ascii="Arial" w:hAnsi="Arial" w:cs="Arial"/>
          <w:sz w:val="20"/>
          <w:szCs w:val="20"/>
        </w:rPr>
        <w:t>istas de puntos</w:t>
      </w:r>
      <w:r>
        <w:rPr>
          <w:rFonts w:ascii="Arial" w:hAnsi="Arial" w:cs="Arial"/>
          <w:sz w:val="20"/>
          <w:szCs w:val="20"/>
        </w:rPr>
        <w:t xml:space="preserve"> </w:t>
      </w:r>
      <w:r w:rsidRPr="00D429F2">
        <w:rPr>
          <w:rFonts w:ascii="Arial" w:hAnsi="Arial" w:cs="Arial"/>
          <w:sz w:val="20"/>
          <w:szCs w:val="20"/>
        </w:rPr>
        <w:t>(.xlsx, .csv) con identificación y atributos de cada punto levantado, resúmenes de poligonales, comprobantes de nivelaciones, y cuadros de verificación y cierres.</w:t>
      </w:r>
    </w:p>
    <w:p w14:paraId="2035D3B7" w14:textId="2655BAE4" w:rsidR="00D429F2" w:rsidRDefault="00D429F2" w:rsidP="00D429F2">
      <w:pPr>
        <w:jc w:val="both"/>
        <w:rPr>
          <w:rFonts w:ascii="Arial" w:hAnsi="Arial" w:cs="Arial"/>
          <w:sz w:val="20"/>
          <w:szCs w:val="20"/>
        </w:rPr>
      </w:pPr>
      <w:r>
        <w:rPr>
          <w:rFonts w:ascii="Arial" w:hAnsi="Arial" w:cs="Arial"/>
          <w:sz w:val="20"/>
          <w:szCs w:val="20"/>
        </w:rPr>
        <w:t xml:space="preserve">d. </w:t>
      </w:r>
      <w:r w:rsidRPr="00D429F2">
        <w:rPr>
          <w:rFonts w:ascii="Arial" w:hAnsi="Arial" w:cs="Arial"/>
          <w:sz w:val="20"/>
          <w:szCs w:val="20"/>
        </w:rPr>
        <w:t>Modelo Digital del Terreno (MDT) y nube de puntos compatible con software de diseño, con la equidistancia de curvas adecuada al relieve local.</w:t>
      </w:r>
    </w:p>
    <w:p w14:paraId="34D17EFA" w14:textId="4FE0D2A7" w:rsidR="00D429F2" w:rsidRPr="00D429F2" w:rsidRDefault="00D429F2" w:rsidP="00D429F2">
      <w:pPr>
        <w:jc w:val="both"/>
        <w:rPr>
          <w:rFonts w:ascii="Arial" w:hAnsi="Arial" w:cs="Arial"/>
          <w:sz w:val="20"/>
          <w:szCs w:val="20"/>
        </w:rPr>
      </w:pPr>
      <w:r>
        <w:rPr>
          <w:rFonts w:ascii="Arial" w:hAnsi="Arial" w:cs="Arial"/>
          <w:sz w:val="20"/>
          <w:szCs w:val="20"/>
        </w:rPr>
        <w:lastRenderedPageBreak/>
        <w:t xml:space="preserve">e. </w:t>
      </w:r>
      <w:r w:rsidRPr="00D429F2">
        <w:rPr>
          <w:rFonts w:ascii="Arial" w:hAnsi="Arial" w:cs="Arial"/>
          <w:sz w:val="20"/>
          <w:szCs w:val="20"/>
        </w:rPr>
        <w:t>Registro fotográfico georreferenciado y archivos multimedia soporte de las actividades de campo.</w:t>
      </w:r>
    </w:p>
    <w:p w14:paraId="4352AA0C" w14:textId="7EFE282E" w:rsidR="00D429F2" w:rsidRDefault="00D429F2" w:rsidP="00D429F2">
      <w:pPr>
        <w:jc w:val="both"/>
        <w:rPr>
          <w:rFonts w:ascii="Arial" w:hAnsi="Arial" w:cs="Arial"/>
          <w:sz w:val="20"/>
          <w:szCs w:val="20"/>
        </w:rPr>
      </w:pPr>
      <w:r>
        <w:rPr>
          <w:rFonts w:ascii="Arial" w:hAnsi="Arial" w:cs="Arial"/>
          <w:sz w:val="20"/>
          <w:szCs w:val="20"/>
        </w:rPr>
        <w:t xml:space="preserve">f. </w:t>
      </w:r>
      <w:r w:rsidRPr="00D429F2">
        <w:rPr>
          <w:rFonts w:ascii="Arial" w:hAnsi="Arial" w:cs="Arial"/>
          <w:sz w:val="20"/>
          <w:szCs w:val="20"/>
        </w:rPr>
        <w:t>Certificados de calibración de los equipos principales</w:t>
      </w:r>
    </w:p>
    <w:p w14:paraId="39B5CDB2" w14:textId="072C3726" w:rsidR="00454141" w:rsidRPr="00454141" w:rsidRDefault="00454141" w:rsidP="00454141">
      <w:pPr>
        <w:jc w:val="both"/>
        <w:rPr>
          <w:rFonts w:ascii="Arial" w:hAnsi="Arial" w:cs="Arial"/>
          <w:sz w:val="20"/>
          <w:szCs w:val="20"/>
        </w:rPr>
      </w:pPr>
      <w:r>
        <w:rPr>
          <w:rFonts w:ascii="Arial" w:hAnsi="Arial" w:cs="Arial"/>
          <w:sz w:val="20"/>
          <w:szCs w:val="20"/>
        </w:rPr>
        <w:t xml:space="preserve">1.2. </w:t>
      </w:r>
      <w:r w:rsidRPr="00454141">
        <w:rPr>
          <w:rFonts w:ascii="Arial" w:hAnsi="Arial" w:cs="Arial"/>
          <w:sz w:val="20"/>
          <w:szCs w:val="20"/>
        </w:rPr>
        <w:t>Conclusión</w:t>
      </w:r>
    </w:p>
    <w:p w14:paraId="4DAB29F7" w14:textId="65E83803" w:rsidR="00454141" w:rsidRDefault="00454141" w:rsidP="00454141">
      <w:pPr>
        <w:jc w:val="both"/>
        <w:rPr>
          <w:rFonts w:ascii="Arial" w:hAnsi="Arial" w:cs="Arial"/>
          <w:sz w:val="20"/>
          <w:szCs w:val="20"/>
        </w:rPr>
      </w:pPr>
      <w:r w:rsidRPr="00454141">
        <w:rPr>
          <w:rFonts w:ascii="Arial" w:hAnsi="Arial" w:cs="Arial"/>
          <w:sz w:val="20"/>
          <w:szCs w:val="20"/>
        </w:rPr>
        <w:t>El levantamiento topográfico mediante estación total, con los requerimientos y entregables enunciados, constituirá la base técnica para la formulación de alternativas del proyecto. La supervisión</w:t>
      </w:r>
      <w:r>
        <w:rPr>
          <w:rFonts w:ascii="Arial" w:hAnsi="Arial" w:cs="Arial"/>
          <w:sz w:val="20"/>
          <w:szCs w:val="20"/>
        </w:rPr>
        <w:t xml:space="preserve"> a través de la interventoría</w:t>
      </w:r>
      <w:r w:rsidRPr="00454141">
        <w:rPr>
          <w:rFonts w:ascii="Arial" w:hAnsi="Arial" w:cs="Arial"/>
          <w:sz w:val="20"/>
          <w:szCs w:val="20"/>
        </w:rPr>
        <w:t xml:space="preserve"> se reserva la facultad de aceptar metodologías alternativas propuestas por el consultor, siempre que se acompañen de justificación técnica y comparativo económico que avalen la viabilidad del cambio.</w:t>
      </w:r>
    </w:p>
    <w:p w14:paraId="4DE3FD34" w14:textId="43A15F66" w:rsidR="00EE657A" w:rsidRPr="00EE657A" w:rsidRDefault="00AD3AF3" w:rsidP="00EE657A">
      <w:pPr>
        <w:jc w:val="both"/>
        <w:rPr>
          <w:rFonts w:ascii="Arial" w:hAnsi="Arial" w:cs="Arial"/>
          <w:sz w:val="20"/>
          <w:szCs w:val="20"/>
        </w:rPr>
      </w:pPr>
      <w:r>
        <w:rPr>
          <w:rFonts w:ascii="Arial" w:hAnsi="Arial" w:cs="Arial"/>
          <w:sz w:val="20"/>
          <w:szCs w:val="20"/>
        </w:rPr>
        <w:t xml:space="preserve">Volumen 2. </w:t>
      </w:r>
      <w:r w:rsidR="00EE657A" w:rsidRPr="00EE657A">
        <w:rPr>
          <w:rFonts w:ascii="Arial" w:hAnsi="Arial" w:cs="Arial"/>
          <w:sz w:val="20"/>
          <w:szCs w:val="20"/>
        </w:rPr>
        <w:t>ESTUDIO DE TRÁNSITO, CAPACIDAD, NIVELES DE SERVICIO, ESTACIONAMIENTOS Y VELOCIDADES</w:t>
      </w:r>
    </w:p>
    <w:p w14:paraId="40B69A7E" w14:textId="2B461788" w:rsidR="00EE657A" w:rsidRPr="00EE657A" w:rsidRDefault="00EE657A" w:rsidP="00EE657A">
      <w:pPr>
        <w:jc w:val="both"/>
        <w:rPr>
          <w:rFonts w:ascii="Arial" w:hAnsi="Arial" w:cs="Arial"/>
          <w:sz w:val="20"/>
          <w:szCs w:val="20"/>
        </w:rPr>
      </w:pPr>
      <w:r w:rsidRPr="00EE657A">
        <w:rPr>
          <w:rFonts w:ascii="Arial" w:hAnsi="Arial" w:cs="Arial"/>
          <w:sz w:val="20"/>
          <w:szCs w:val="20"/>
        </w:rPr>
        <w:t>El Estudio de Tránsito, Capacidad, Niveles de Servicio, Estacionamientos y Velocidades tiene como propósito evaluar las condiciones actuales de operación vehicular, peatonal y de transporte público en la intersección del Crucero de Combia, con el fin de determinar los niveles de servicio, tiempos de recorrido y problemáticas funcionales que afecten la movilidad, la seguridad vial y la eficiencia operativa del sector. Los resultados de este estudio constituirán el insumo fundamental para la formulación de alternativas de solución y la definición de la línea base técnica del proyecto.</w:t>
      </w:r>
    </w:p>
    <w:p w14:paraId="2E4DAAED" w14:textId="2D08320A" w:rsidR="00EE657A" w:rsidRPr="00EE657A" w:rsidRDefault="00EE657A" w:rsidP="00EE657A">
      <w:pPr>
        <w:jc w:val="both"/>
        <w:rPr>
          <w:rFonts w:ascii="Arial" w:hAnsi="Arial" w:cs="Arial"/>
          <w:sz w:val="20"/>
          <w:szCs w:val="20"/>
        </w:rPr>
      </w:pPr>
      <w:r w:rsidRPr="00EE657A">
        <w:rPr>
          <w:rFonts w:ascii="Arial" w:hAnsi="Arial" w:cs="Arial"/>
          <w:sz w:val="20"/>
          <w:szCs w:val="20"/>
        </w:rPr>
        <w:t xml:space="preserve">Para ello, el estudio deberá desarrollar una caracterización detallada del tránsito existente, determinando el Tránsito Promedio Diario (TPD), la velocidad de operación, los flujos por movimiento, la composición vehicular, </w:t>
      </w:r>
      <w:r w:rsidR="00645B54">
        <w:rPr>
          <w:rFonts w:ascii="Arial" w:hAnsi="Arial" w:cs="Arial"/>
          <w:sz w:val="20"/>
          <w:szCs w:val="20"/>
        </w:rPr>
        <w:t xml:space="preserve">el análisis de zonas </w:t>
      </w:r>
      <w:r w:rsidRPr="00EE657A">
        <w:rPr>
          <w:rFonts w:ascii="Arial" w:hAnsi="Arial" w:cs="Arial"/>
          <w:sz w:val="20"/>
          <w:szCs w:val="20"/>
        </w:rPr>
        <w:t>de estacionamientos</w:t>
      </w:r>
      <w:r w:rsidR="00645B54">
        <w:rPr>
          <w:rFonts w:ascii="Arial" w:hAnsi="Arial" w:cs="Arial"/>
          <w:sz w:val="20"/>
          <w:szCs w:val="20"/>
        </w:rPr>
        <w:t xml:space="preserve"> y de carga, así como </w:t>
      </w:r>
      <w:r w:rsidR="00645B54" w:rsidRPr="00EE657A">
        <w:rPr>
          <w:rFonts w:ascii="Arial" w:hAnsi="Arial" w:cs="Arial"/>
          <w:sz w:val="20"/>
          <w:szCs w:val="20"/>
        </w:rPr>
        <w:t>las</w:t>
      </w:r>
      <w:r w:rsidRPr="00EE657A">
        <w:rPr>
          <w:rFonts w:ascii="Arial" w:hAnsi="Arial" w:cs="Arial"/>
          <w:sz w:val="20"/>
          <w:szCs w:val="20"/>
        </w:rPr>
        <w:t xml:space="preserve"> condiciones</w:t>
      </w:r>
      <w:r w:rsidR="00645B54">
        <w:rPr>
          <w:rFonts w:ascii="Arial" w:hAnsi="Arial" w:cs="Arial"/>
          <w:sz w:val="20"/>
          <w:szCs w:val="20"/>
        </w:rPr>
        <w:t xml:space="preserve"> de circulación del</w:t>
      </w:r>
      <w:r w:rsidRPr="00EE657A">
        <w:rPr>
          <w:rFonts w:ascii="Arial" w:hAnsi="Arial" w:cs="Arial"/>
          <w:sz w:val="20"/>
          <w:szCs w:val="20"/>
        </w:rPr>
        <w:t xml:space="preserve"> transporte público. Los análisis permitirán dimensionar adecuadamente la infraestructura propuesta y evaluar su desempeño en distintos horizontes de planeación.</w:t>
      </w:r>
    </w:p>
    <w:p w14:paraId="4363CC88" w14:textId="77777777" w:rsidR="00EC7CF9" w:rsidRDefault="00EE657A" w:rsidP="00840796">
      <w:pPr>
        <w:widowControl w:val="0"/>
        <w:pBdr>
          <w:top w:val="nil"/>
          <w:left w:val="nil"/>
          <w:bottom w:val="nil"/>
          <w:right w:val="nil"/>
          <w:between w:val="nil"/>
        </w:pBdr>
        <w:tabs>
          <w:tab w:val="left" w:pos="1083"/>
        </w:tabs>
        <w:jc w:val="both"/>
        <w:rPr>
          <w:rFonts w:ascii="Arial" w:hAnsi="Arial" w:cs="Arial"/>
          <w:sz w:val="20"/>
          <w:szCs w:val="20"/>
        </w:rPr>
      </w:pPr>
      <w:r w:rsidRPr="00EE657A">
        <w:rPr>
          <w:rFonts w:ascii="Arial" w:hAnsi="Arial" w:cs="Arial"/>
          <w:sz w:val="20"/>
          <w:szCs w:val="20"/>
        </w:rPr>
        <w:t xml:space="preserve">El levantamiento de información de campo incluirá aforos vehiculares clasificados por tipo y sentido de circulación, durante un periodo mínimo de dieciséis (16) horas continuas en dos días típicos y dos días atípicos, asegurando una cobertura representativa de las condiciones operativas del sector. </w:t>
      </w:r>
    </w:p>
    <w:p w14:paraId="309BC627" w14:textId="0865C5D9" w:rsidR="00BD5EA0" w:rsidRDefault="00EE657A" w:rsidP="00840796">
      <w:pPr>
        <w:widowControl w:val="0"/>
        <w:pBdr>
          <w:top w:val="nil"/>
          <w:left w:val="nil"/>
          <w:bottom w:val="nil"/>
          <w:right w:val="nil"/>
          <w:between w:val="nil"/>
        </w:pBdr>
        <w:tabs>
          <w:tab w:val="left" w:pos="1083"/>
        </w:tabs>
        <w:jc w:val="both"/>
        <w:rPr>
          <w:rFonts w:ascii="Arial" w:hAnsi="Arial" w:cs="Arial"/>
          <w:sz w:val="20"/>
          <w:szCs w:val="20"/>
        </w:rPr>
      </w:pPr>
      <w:r w:rsidRPr="00EE657A">
        <w:rPr>
          <w:rFonts w:ascii="Arial" w:hAnsi="Arial" w:cs="Arial"/>
          <w:sz w:val="20"/>
          <w:szCs w:val="20"/>
        </w:rPr>
        <w:t xml:space="preserve">Adicionalmente, se </w:t>
      </w:r>
      <w:r w:rsidRPr="00A55287">
        <w:rPr>
          <w:rFonts w:ascii="Arial" w:hAnsi="Arial" w:cs="Arial"/>
          <w:sz w:val="20"/>
          <w:szCs w:val="20"/>
        </w:rPr>
        <w:t>realizarán aforos peatonales</w:t>
      </w:r>
      <w:r w:rsidR="00BD5EA0">
        <w:rPr>
          <w:rFonts w:ascii="Arial" w:hAnsi="Arial" w:cs="Arial"/>
          <w:sz w:val="20"/>
          <w:szCs w:val="20"/>
        </w:rPr>
        <w:t xml:space="preserve"> con el fin de </w:t>
      </w:r>
      <w:r w:rsidR="00BD5EA0" w:rsidRPr="00BD5EA0">
        <w:rPr>
          <w:rFonts w:ascii="Arial" w:hAnsi="Arial" w:cs="Arial"/>
          <w:sz w:val="20"/>
          <w:szCs w:val="20"/>
        </w:rPr>
        <w:t>Identificar flujos y patrones de cruce (lugares, horarios y sentidos más utilizados)</w:t>
      </w:r>
      <w:r w:rsidR="00BD5EA0">
        <w:rPr>
          <w:rFonts w:ascii="Arial" w:hAnsi="Arial" w:cs="Arial"/>
          <w:sz w:val="20"/>
          <w:szCs w:val="20"/>
        </w:rPr>
        <w:t>, d</w:t>
      </w:r>
      <w:r w:rsidR="00BD5EA0" w:rsidRPr="00BD5EA0">
        <w:rPr>
          <w:rFonts w:ascii="Arial" w:hAnsi="Arial" w:cs="Arial"/>
          <w:sz w:val="20"/>
          <w:szCs w:val="20"/>
        </w:rPr>
        <w:t>eterminar puntos de conflicto entre peatones y vehículos</w:t>
      </w:r>
      <w:r w:rsidR="00BD5EA0">
        <w:rPr>
          <w:rFonts w:ascii="Arial" w:hAnsi="Arial" w:cs="Arial"/>
          <w:sz w:val="20"/>
          <w:szCs w:val="20"/>
        </w:rPr>
        <w:t>, e</w:t>
      </w:r>
      <w:r w:rsidR="00BD5EA0" w:rsidRPr="00BD5EA0">
        <w:rPr>
          <w:rFonts w:ascii="Arial" w:hAnsi="Arial" w:cs="Arial"/>
          <w:sz w:val="20"/>
          <w:szCs w:val="20"/>
        </w:rPr>
        <w:t>stablecer la necesidad y localización de pasos seguros, andenes o canalizaciones</w:t>
      </w:r>
      <w:r w:rsidR="00EC7CF9">
        <w:rPr>
          <w:rFonts w:ascii="Arial" w:hAnsi="Arial" w:cs="Arial"/>
          <w:sz w:val="20"/>
          <w:szCs w:val="20"/>
        </w:rPr>
        <w:t xml:space="preserve">, </w:t>
      </w:r>
      <w:r w:rsidR="00BD5EA0">
        <w:rPr>
          <w:rFonts w:ascii="Arial" w:hAnsi="Arial" w:cs="Arial"/>
          <w:sz w:val="20"/>
          <w:szCs w:val="20"/>
        </w:rPr>
        <w:t>e</w:t>
      </w:r>
      <w:r w:rsidR="00BD5EA0" w:rsidRPr="00BD5EA0">
        <w:rPr>
          <w:rFonts w:ascii="Arial" w:hAnsi="Arial" w:cs="Arial"/>
          <w:sz w:val="20"/>
          <w:szCs w:val="20"/>
        </w:rPr>
        <w:t>valuar medidas de seguridad vial</w:t>
      </w:r>
      <w:r w:rsidR="00EC7CF9">
        <w:rPr>
          <w:rFonts w:ascii="Arial" w:hAnsi="Arial" w:cs="Arial"/>
          <w:sz w:val="20"/>
          <w:szCs w:val="20"/>
        </w:rPr>
        <w:t>, e i</w:t>
      </w:r>
      <w:r w:rsidR="00BD5EA0" w:rsidRPr="00BD5EA0">
        <w:rPr>
          <w:rFonts w:ascii="Arial" w:hAnsi="Arial" w:cs="Arial"/>
          <w:sz w:val="20"/>
          <w:szCs w:val="20"/>
        </w:rPr>
        <w:t>ntegrar el componente peatonal en las propuesta geométrica y operativa del proyecto.</w:t>
      </w:r>
    </w:p>
    <w:p w14:paraId="047731B1" w14:textId="1743DCAC" w:rsidR="00AE2E34" w:rsidRDefault="00AE2E34" w:rsidP="00AE2E34">
      <w:pPr>
        <w:widowControl w:val="0"/>
        <w:pBdr>
          <w:top w:val="nil"/>
          <w:left w:val="nil"/>
          <w:bottom w:val="nil"/>
          <w:right w:val="nil"/>
          <w:between w:val="nil"/>
        </w:pBdr>
        <w:tabs>
          <w:tab w:val="left" w:pos="1083"/>
        </w:tabs>
        <w:jc w:val="both"/>
        <w:rPr>
          <w:rFonts w:ascii="Arial" w:hAnsi="Arial" w:cs="Arial"/>
          <w:sz w:val="20"/>
          <w:szCs w:val="20"/>
        </w:rPr>
      </w:pPr>
      <w:r w:rsidRPr="00AE2E34">
        <w:rPr>
          <w:rFonts w:ascii="Arial" w:hAnsi="Arial" w:cs="Arial"/>
          <w:sz w:val="20"/>
          <w:szCs w:val="20"/>
        </w:rPr>
        <w:t>Se propone, para el aforo peatonal, una auscultación visual que permita verificar las franjas horarias en las que se evidencia un mayor flujo peatonal en la zona. El registro se realizará durante un período mínimo de ocho (8) horas, distribuidas en dos franjas representativas donde se verifique la Hora de Máxima Demanda (HMD) en la mañana y en la tarde, abarcando dos días típicos y dos días atípicos.</w:t>
      </w:r>
      <w:r>
        <w:rPr>
          <w:rFonts w:ascii="Arial" w:hAnsi="Arial" w:cs="Arial"/>
          <w:sz w:val="20"/>
          <w:szCs w:val="20"/>
        </w:rPr>
        <w:t xml:space="preserve"> </w:t>
      </w:r>
      <w:r w:rsidRPr="00AE2E34">
        <w:rPr>
          <w:rFonts w:ascii="Arial" w:hAnsi="Arial" w:cs="Arial"/>
          <w:sz w:val="20"/>
          <w:szCs w:val="20"/>
        </w:rPr>
        <w:t>La localización de los puntos de observación se establecerá en los tres accesos principales (Pereira, Marsella y Combia), así como en los cruces peatonales espontáneos identificados dentro del área de influencia, en un radio aproximado de 50 a 100 metros.</w:t>
      </w:r>
      <w:r>
        <w:rPr>
          <w:rFonts w:ascii="Arial" w:hAnsi="Arial" w:cs="Arial"/>
          <w:sz w:val="20"/>
          <w:szCs w:val="20"/>
        </w:rPr>
        <w:t xml:space="preserve"> </w:t>
      </w:r>
      <w:r w:rsidRPr="00AE2E34">
        <w:rPr>
          <w:rFonts w:ascii="Arial" w:hAnsi="Arial" w:cs="Arial"/>
          <w:sz w:val="20"/>
          <w:szCs w:val="20"/>
        </w:rPr>
        <w:t>La clasificación de peatones se realizará según el sentido de cruce, tipo de peatón (niños, adultos y adultos mayores) y propósito del desplazamiento (tránsito, comercio o recreación).</w:t>
      </w:r>
    </w:p>
    <w:p w14:paraId="5ACC5548" w14:textId="77777777" w:rsidR="00AE2E34" w:rsidRPr="00AE2E34" w:rsidRDefault="00AE2E34" w:rsidP="00AE2E34">
      <w:pPr>
        <w:jc w:val="both"/>
        <w:rPr>
          <w:rFonts w:ascii="Arial" w:hAnsi="Arial" w:cs="Arial"/>
          <w:i/>
          <w:iCs/>
          <w:sz w:val="16"/>
          <w:szCs w:val="16"/>
        </w:rPr>
      </w:pPr>
      <w:r w:rsidRPr="00AE2E34">
        <w:rPr>
          <w:rFonts w:ascii="Arial" w:hAnsi="Arial" w:cs="Arial"/>
          <w:b/>
          <w:bCs/>
          <w:i/>
          <w:iCs/>
          <w:sz w:val="16"/>
          <w:szCs w:val="16"/>
        </w:rPr>
        <w:t>Nota:</w:t>
      </w:r>
      <w:r w:rsidRPr="00EC7CF9">
        <w:rPr>
          <w:rFonts w:ascii="Arial" w:hAnsi="Arial" w:cs="Arial"/>
          <w:i/>
          <w:iCs/>
          <w:sz w:val="16"/>
          <w:szCs w:val="16"/>
        </w:rPr>
        <w:t xml:space="preserve"> para los aforos, el consultor podrá proponer, si lo considera técnica y justificadamente conveniente, la aplicación de metodologías alternativas o la modificación de las franjas  horarias o los periodos de observación, siempre que dichas propuestas representen ventajas comparativas económicas o técnicas y sean avaladas por la interventoría y cuenten con la posterior  aprobación de la supervisión de la entidad contratante, garantizando en todo caso la representatividad y validez de la información recolectada. </w:t>
      </w:r>
    </w:p>
    <w:p w14:paraId="5D27CC0F" w14:textId="77777777" w:rsidR="00AE2E34" w:rsidRPr="00AE2E34" w:rsidRDefault="00AE2E34" w:rsidP="00AE2E34">
      <w:pPr>
        <w:widowControl w:val="0"/>
        <w:pBdr>
          <w:top w:val="nil"/>
          <w:left w:val="nil"/>
          <w:bottom w:val="nil"/>
          <w:right w:val="nil"/>
          <w:between w:val="nil"/>
        </w:pBdr>
        <w:tabs>
          <w:tab w:val="left" w:pos="1083"/>
        </w:tabs>
        <w:jc w:val="both"/>
        <w:rPr>
          <w:rFonts w:ascii="Arial" w:hAnsi="Arial" w:cs="Arial"/>
          <w:sz w:val="20"/>
          <w:szCs w:val="20"/>
        </w:rPr>
      </w:pPr>
    </w:p>
    <w:p w14:paraId="30AE3021" w14:textId="72A885EC" w:rsidR="00EE657A" w:rsidRPr="00840796" w:rsidRDefault="00EC7CF9" w:rsidP="00840796">
      <w:pPr>
        <w:widowControl w:val="0"/>
        <w:pBdr>
          <w:top w:val="nil"/>
          <w:left w:val="nil"/>
          <w:bottom w:val="nil"/>
          <w:right w:val="nil"/>
          <w:between w:val="nil"/>
        </w:pBdr>
        <w:tabs>
          <w:tab w:val="left" w:pos="1083"/>
        </w:tabs>
        <w:jc w:val="both"/>
        <w:rPr>
          <w:rFonts w:ascii="Arial" w:eastAsia="Arial" w:hAnsi="Arial" w:cs="Arial"/>
          <w:sz w:val="20"/>
          <w:szCs w:val="20"/>
        </w:rPr>
      </w:pPr>
      <w:r>
        <w:rPr>
          <w:rFonts w:ascii="Arial" w:eastAsia="Arial" w:hAnsi="Arial" w:cs="Arial"/>
          <w:sz w:val="20"/>
          <w:szCs w:val="20"/>
        </w:rPr>
        <w:lastRenderedPageBreak/>
        <w:t xml:space="preserve">De manera simultánea, se realizarán </w:t>
      </w:r>
      <w:r w:rsidR="00361050" w:rsidRPr="007F4E1C">
        <w:rPr>
          <w:rFonts w:ascii="Arial" w:eastAsia="Arial" w:hAnsi="Arial" w:cs="Arial"/>
          <w:sz w:val="20"/>
          <w:szCs w:val="20"/>
        </w:rPr>
        <w:t>estudios de estacionamientos y zonas de carga</w:t>
      </w:r>
      <w:r w:rsidR="00840796">
        <w:rPr>
          <w:rFonts w:ascii="Arial" w:eastAsia="Arial" w:hAnsi="Arial" w:cs="Arial"/>
          <w:sz w:val="20"/>
          <w:szCs w:val="20"/>
        </w:rPr>
        <w:t xml:space="preserve"> (</w:t>
      </w:r>
      <w:r w:rsidR="00361050" w:rsidRPr="007F4E1C">
        <w:rPr>
          <w:rFonts w:ascii="Arial" w:eastAsia="Arial" w:hAnsi="Arial" w:cs="Arial"/>
          <w:sz w:val="20"/>
          <w:szCs w:val="20"/>
        </w:rPr>
        <w:t>inventario de estacionamientos, rotación y ocupación, duración promedio de estacionamiento, oferta, demanda, identificación de vehículos de carga y sus tiempos, análisis de impactos a la movilidad, etc.</w:t>
      </w:r>
      <w:r w:rsidR="00840796">
        <w:rPr>
          <w:rFonts w:ascii="Arial" w:eastAsia="Arial" w:hAnsi="Arial" w:cs="Arial"/>
          <w:sz w:val="20"/>
          <w:szCs w:val="20"/>
        </w:rPr>
        <w:t xml:space="preserve">) </w:t>
      </w:r>
      <w:r w:rsidR="00EE657A" w:rsidRPr="00EE657A">
        <w:rPr>
          <w:rFonts w:ascii="Arial" w:hAnsi="Arial" w:cs="Arial"/>
          <w:sz w:val="20"/>
          <w:szCs w:val="20"/>
        </w:rPr>
        <w:t>y registro de la operación del transporte público en el área de influencia</w:t>
      </w:r>
      <w:r w:rsidR="00840796">
        <w:rPr>
          <w:rFonts w:ascii="Arial" w:hAnsi="Arial" w:cs="Arial"/>
          <w:sz w:val="20"/>
          <w:szCs w:val="20"/>
        </w:rPr>
        <w:t xml:space="preserve"> (</w:t>
      </w:r>
      <w:r w:rsidR="00840796" w:rsidRPr="007F4E1C">
        <w:rPr>
          <w:rFonts w:ascii="Arial" w:eastAsia="Arial" w:hAnsi="Arial" w:cs="Arial"/>
          <w:sz w:val="20"/>
          <w:szCs w:val="20"/>
        </w:rPr>
        <w:t>frecuencias, infraestructura de transporte (paraderos), maniobras de ascenso y descenso e impacto al flujo vehicular, etc.</w:t>
      </w:r>
      <w:r w:rsidR="00840796">
        <w:rPr>
          <w:rFonts w:ascii="Arial" w:eastAsia="Arial" w:hAnsi="Arial" w:cs="Arial"/>
          <w:sz w:val="20"/>
          <w:szCs w:val="20"/>
        </w:rPr>
        <w:t>)</w:t>
      </w:r>
    </w:p>
    <w:p w14:paraId="344CE478" w14:textId="10019C26" w:rsidR="00EE657A" w:rsidRPr="00EE657A" w:rsidRDefault="00EE657A" w:rsidP="00EE657A">
      <w:pPr>
        <w:jc w:val="both"/>
        <w:rPr>
          <w:rFonts w:ascii="Arial" w:hAnsi="Arial" w:cs="Arial"/>
          <w:sz w:val="20"/>
          <w:szCs w:val="20"/>
        </w:rPr>
      </w:pPr>
      <w:r w:rsidRPr="00EE657A">
        <w:rPr>
          <w:rFonts w:ascii="Arial" w:hAnsi="Arial" w:cs="Arial"/>
          <w:sz w:val="20"/>
          <w:szCs w:val="20"/>
        </w:rPr>
        <w:t>E</w:t>
      </w:r>
      <w:r>
        <w:rPr>
          <w:rFonts w:ascii="Arial" w:hAnsi="Arial" w:cs="Arial"/>
          <w:sz w:val="20"/>
          <w:szCs w:val="20"/>
        </w:rPr>
        <w:t>n e</w:t>
      </w:r>
      <w:r w:rsidRPr="00EE657A">
        <w:rPr>
          <w:rFonts w:ascii="Arial" w:hAnsi="Arial" w:cs="Arial"/>
          <w:sz w:val="20"/>
          <w:szCs w:val="20"/>
        </w:rPr>
        <w:t xml:space="preserve">l estudio </w:t>
      </w:r>
      <w:r>
        <w:rPr>
          <w:rFonts w:ascii="Arial" w:hAnsi="Arial" w:cs="Arial"/>
          <w:sz w:val="20"/>
          <w:szCs w:val="20"/>
        </w:rPr>
        <w:t xml:space="preserve">se </w:t>
      </w:r>
      <w:r w:rsidRPr="00EE657A">
        <w:rPr>
          <w:rFonts w:ascii="Arial" w:hAnsi="Arial" w:cs="Arial"/>
          <w:sz w:val="20"/>
          <w:szCs w:val="20"/>
        </w:rPr>
        <w:t xml:space="preserve">deberá calcular </w:t>
      </w:r>
      <w:r>
        <w:rPr>
          <w:rFonts w:ascii="Arial" w:hAnsi="Arial" w:cs="Arial"/>
          <w:sz w:val="20"/>
          <w:szCs w:val="20"/>
        </w:rPr>
        <w:t>e</w:t>
      </w:r>
      <w:r w:rsidRPr="00EE657A">
        <w:rPr>
          <w:rFonts w:ascii="Arial" w:hAnsi="Arial" w:cs="Arial"/>
          <w:sz w:val="20"/>
          <w:szCs w:val="20"/>
        </w:rPr>
        <w:t>l nivel de servicio (LOS) actual, conforme a las metodologías establecidas en el Highway Capacity Manual (HCM) – 7th Edition (2022) o normativa vigente aplicable, considerando las condiciones geométricas del corredor</w:t>
      </w:r>
      <w:r w:rsidR="00645B54">
        <w:rPr>
          <w:rFonts w:ascii="Arial" w:hAnsi="Arial" w:cs="Arial"/>
          <w:sz w:val="20"/>
          <w:szCs w:val="20"/>
        </w:rPr>
        <w:t xml:space="preserve">, </w:t>
      </w:r>
      <w:r w:rsidRPr="00EE657A">
        <w:rPr>
          <w:rFonts w:ascii="Arial" w:hAnsi="Arial" w:cs="Arial"/>
          <w:sz w:val="20"/>
          <w:szCs w:val="20"/>
        </w:rPr>
        <w:t>los patrones de demanda</w:t>
      </w:r>
      <w:r w:rsidR="00645B54">
        <w:rPr>
          <w:rFonts w:ascii="Arial" w:hAnsi="Arial" w:cs="Arial"/>
          <w:sz w:val="20"/>
          <w:szCs w:val="20"/>
        </w:rPr>
        <w:t xml:space="preserve"> y las condiciones de operatividad</w:t>
      </w:r>
      <w:r w:rsidRPr="00EE657A">
        <w:rPr>
          <w:rFonts w:ascii="Arial" w:hAnsi="Arial" w:cs="Arial"/>
          <w:sz w:val="20"/>
          <w:szCs w:val="20"/>
        </w:rPr>
        <w:t xml:space="preserve"> observad</w:t>
      </w:r>
      <w:r w:rsidR="00645B54">
        <w:rPr>
          <w:rFonts w:ascii="Arial" w:hAnsi="Arial" w:cs="Arial"/>
          <w:sz w:val="20"/>
          <w:szCs w:val="20"/>
        </w:rPr>
        <w:t>as</w:t>
      </w:r>
      <w:r w:rsidRPr="00EE657A">
        <w:rPr>
          <w:rFonts w:ascii="Arial" w:hAnsi="Arial" w:cs="Arial"/>
          <w:sz w:val="20"/>
          <w:szCs w:val="20"/>
        </w:rPr>
        <w:t xml:space="preserve">. Se realizará también la medición de </w:t>
      </w:r>
      <w:r w:rsidR="00361050" w:rsidRPr="007F4E1C">
        <w:rPr>
          <w:rFonts w:ascii="Arial" w:eastAsia="Arial" w:hAnsi="Arial" w:cs="Arial"/>
          <w:sz w:val="20"/>
          <w:szCs w:val="20"/>
        </w:rPr>
        <w:t>velocidades y tiempos de recorrido, obteniéndose las velocidades de operación en cada acceso (percentil 85), velocidades de aproximación a la intersección, tiempos de recorrido y demoras</w:t>
      </w:r>
      <w:r w:rsidRPr="00EE657A">
        <w:rPr>
          <w:rFonts w:ascii="Arial" w:hAnsi="Arial" w:cs="Arial"/>
          <w:sz w:val="20"/>
          <w:szCs w:val="20"/>
        </w:rPr>
        <w:t>, de manera que se pueda establecer un diagnóstico técnico integral de la situación actual.</w:t>
      </w:r>
    </w:p>
    <w:p w14:paraId="5A0C27FD" w14:textId="1CE2A84D" w:rsidR="00EE657A" w:rsidRDefault="00EE657A" w:rsidP="00EE657A">
      <w:pPr>
        <w:jc w:val="both"/>
        <w:rPr>
          <w:rFonts w:ascii="Arial" w:hAnsi="Arial" w:cs="Arial"/>
          <w:sz w:val="20"/>
          <w:szCs w:val="20"/>
        </w:rPr>
      </w:pPr>
      <w:r w:rsidRPr="00EE657A">
        <w:rPr>
          <w:rFonts w:ascii="Arial" w:hAnsi="Arial" w:cs="Arial"/>
          <w:sz w:val="20"/>
          <w:szCs w:val="20"/>
        </w:rPr>
        <w:t>Se deberán identificar y caracterizar los problemas de movilidad, las maniobras críticas, los cuellos de botella,</w:t>
      </w:r>
      <w:r w:rsidR="00645B54">
        <w:rPr>
          <w:rFonts w:ascii="Arial" w:hAnsi="Arial" w:cs="Arial"/>
          <w:sz w:val="20"/>
          <w:szCs w:val="20"/>
        </w:rPr>
        <w:t xml:space="preserve"> las </w:t>
      </w:r>
      <w:r w:rsidR="00645B54" w:rsidRPr="007F4E1C">
        <w:rPr>
          <w:rFonts w:ascii="Arial" w:eastAsia="Arial" w:hAnsi="Arial" w:cs="Arial"/>
          <w:sz w:val="20"/>
          <w:szCs w:val="20"/>
        </w:rPr>
        <w:t>longitudes de cola en horas pico</w:t>
      </w:r>
      <w:r w:rsidR="00645B54">
        <w:rPr>
          <w:rFonts w:ascii="Arial" w:eastAsia="Arial" w:hAnsi="Arial" w:cs="Arial"/>
          <w:sz w:val="20"/>
          <w:szCs w:val="20"/>
        </w:rPr>
        <w:t>, l</w:t>
      </w:r>
      <w:r w:rsidRPr="00EE657A">
        <w:rPr>
          <w:rFonts w:ascii="Arial" w:hAnsi="Arial" w:cs="Arial"/>
          <w:sz w:val="20"/>
          <w:szCs w:val="20"/>
        </w:rPr>
        <w:t>as interferencias entre modos de transporte y las condiciones de seguridad vial. Con base en dicha información, se definirán las alternativas geométricas y operativas del proyecto</w:t>
      </w:r>
      <w:r>
        <w:rPr>
          <w:rFonts w:ascii="Arial" w:hAnsi="Arial" w:cs="Arial"/>
          <w:sz w:val="20"/>
          <w:szCs w:val="20"/>
        </w:rPr>
        <w:t>.</w:t>
      </w:r>
    </w:p>
    <w:p w14:paraId="4B3E0948" w14:textId="72E0FD12" w:rsidR="00EE657A" w:rsidRPr="00EE657A" w:rsidRDefault="00EE657A" w:rsidP="00EE657A">
      <w:pPr>
        <w:jc w:val="both"/>
        <w:rPr>
          <w:rFonts w:ascii="Arial" w:hAnsi="Arial" w:cs="Arial"/>
          <w:sz w:val="20"/>
          <w:szCs w:val="20"/>
        </w:rPr>
      </w:pPr>
      <w:r w:rsidRPr="00EE657A">
        <w:rPr>
          <w:rFonts w:ascii="Arial" w:hAnsi="Arial" w:cs="Arial"/>
          <w:sz w:val="20"/>
          <w:szCs w:val="20"/>
        </w:rPr>
        <w:t>2.1 Entregables</w:t>
      </w:r>
    </w:p>
    <w:p w14:paraId="2AD2E3E7" w14:textId="2AFA9B5E" w:rsidR="00A55287" w:rsidRPr="00A55287" w:rsidRDefault="003164E8" w:rsidP="00A55287">
      <w:pPr>
        <w:jc w:val="both"/>
        <w:rPr>
          <w:rFonts w:ascii="Arial" w:hAnsi="Arial" w:cs="Arial"/>
          <w:sz w:val="20"/>
          <w:szCs w:val="20"/>
        </w:rPr>
      </w:pPr>
      <w:r>
        <w:rPr>
          <w:rFonts w:ascii="Arial" w:hAnsi="Arial" w:cs="Arial"/>
          <w:sz w:val="20"/>
          <w:szCs w:val="20"/>
        </w:rPr>
        <w:t xml:space="preserve">- </w:t>
      </w:r>
      <w:r w:rsidR="00A55287" w:rsidRPr="00A55287">
        <w:rPr>
          <w:rFonts w:ascii="Arial" w:hAnsi="Arial" w:cs="Arial"/>
          <w:sz w:val="20"/>
          <w:szCs w:val="20"/>
        </w:rPr>
        <w:t>Plan de trabajo y cronograma de levantamiento de información de campo, en el que se especifiquen los puntos de aforo, los periodos de observación, los tipos de conteo y las condiciones de ejecución.</w:t>
      </w:r>
    </w:p>
    <w:p w14:paraId="135332A1" w14:textId="34D49C43" w:rsidR="00A55287" w:rsidRPr="00EE657A" w:rsidRDefault="00A55287" w:rsidP="00A55287">
      <w:pPr>
        <w:jc w:val="both"/>
        <w:rPr>
          <w:rFonts w:ascii="Arial" w:hAnsi="Arial" w:cs="Arial"/>
          <w:sz w:val="20"/>
          <w:szCs w:val="20"/>
        </w:rPr>
      </w:pPr>
      <w:r>
        <w:rPr>
          <w:rFonts w:ascii="Arial" w:hAnsi="Arial" w:cs="Arial"/>
          <w:sz w:val="20"/>
          <w:szCs w:val="20"/>
        </w:rPr>
        <w:t xml:space="preserve">- Informe denominado Volumen </w:t>
      </w:r>
      <w:r w:rsidRPr="00EE657A">
        <w:rPr>
          <w:rFonts w:ascii="Arial" w:hAnsi="Arial" w:cs="Arial"/>
          <w:sz w:val="20"/>
          <w:szCs w:val="20"/>
        </w:rPr>
        <w:t>2.</w:t>
      </w:r>
      <w:r>
        <w:rPr>
          <w:rFonts w:ascii="Arial" w:hAnsi="Arial" w:cs="Arial"/>
          <w:sz w:val="20"/>
          <w:szCs w:val="20"/>
        </w:rPr>
        <w:t xml:space="preserve"> </w:t>
      </w:r>
      <w:r w:rsidRPr="00EE657A">
        <w:rPr>
          <w:rFonts w:ascii="Arial" w:hAnsi="Arial" w:cs="Arial"/>
          <w:sz w:val="20"/>
          <w:szCs w:val="20"/>
        </w:rPr>
        <w:t>ESTUDIO DE TRÁNSITO, CAPACIDAD, NIVELES DE SERVICIO, ESTACIONAMIENTOS Y VELOCIDADES</w:t>
      </w:r>
      <w:r>
        <w:rPr>
          <w:rFonts w:ascii="Arial" w:hAnsi="Arial" w:cs="Arial"/>
          <w:sz w:val="20"/>
          <w:szCs w:val="20"/>
        </w:rPr>
        <w:t xml:space="preserve"> que contenga como mínimo lo siguiente:</w:t>
      </w:r>
    </w:p>
    <w:p w14:paraId="74CEBAE5" w14:textId="3C9D7C01" w:rsidR="00A55287" w:rsidRDefault="003164E8" w:rsidP="00A55287">
      <w:pPr>
        <w:jc w:val="both"/>
        <w:rPr>
          <w:rFonts w:ascii="Arial" w:hAnsi="Arial" w:cs="Arial"/>
          <w:sz w:val="20"/>
          <w:szCs w:val="20"/>
        </w:rPr>
      </w:pPr>
      <w:r>
        <w:rPr>
          <w:rFonts w:ascii="Arial" w:hAnsi="Arial" w:cs="Arial"/>
          <w:sz w:val="20"/>
          <w:szCs w:val="20"/>
        </w:rPr>
        <w:t xml:space="preserve">a. </w:t>
      </w:r>
      <w:r w:rsidR="001174D9" w:rsidRPr="001174D9">
        <w:rPr>
          <w:rFonts w:ascii="Arial" w:hAnsi="Arial" w:cs="Arial"/>
          <w:sz w:val="20"/>
          <w:szCs w:val="20"/>
        </w:rPr>
        <w:t>La</w:t>
      </w:r>
      <w:r w:rsidR="001174D9">
        <w:rPr>
          <w:rFonts w:ascii="Arial" w:hAnsi="Arial" w:cs="Arial"/>
          <w:sz w:val="20"/>
          <w:szCs w:val="20"/>
        </w:rPr>
        <w:t xml:space="preserve"> </w:t>
      </w:r>
      <w:r w:rsidR="001174D9" w:rsidRPr="001174D9">
        <w:rPr>
          <w:rFonts w:ascii="Arial" w:hAnsi="Arial" w:cs="Arial"/>
          <w:sz w:val="20"/>
          <w:szCs w:val="20"/>
        </w:rPr>
        <w:t xml:space="preserve">caracterización del tránsito existente </w:t>
      </w:r>
      <w:r w:rsidR="001174D9">
        <w:rPr>
          <w:rFonts w:ascii="Arial" w:hAnsi="Arial" w:cs="Arial"/>
          <w:sz w:val="20"/>
          <w:szCs w:val="20"/>
        </w:rPr>
        <w:t>relacionado con:</w:t>
      </w:r>
      <w:r w:rsidR="001174D9" w:rsidRPr="001174D9">
        <w:rPr>
          <w:rFonts w:ascii="Arial" w:hAnsi="Arial" w:cs="Arial"/>
          <w:sz w:val="20"/>
          <w:szCs w:val="20"/>
        </w:rPr>
        <w:t xml:space="preserve"> la determinación del Tránsito Promedio Diario (TPD) y la composición vehicular, así como los flujos por movimiento y sentido de circulación, la identificación de los patrones horarios y la distribución direccional del tránsito. Adicionalmente, se realizará el análisis de variaciones horarias para determinar los periodos de máxima demanda (horas pico), la identificación de giros predominantes y maniobras críticas, la relación volumen/capacidad en los accesos, y el comportamiento del tránsito pesado y de transporte público dentro del área de influencia.</w:t>
      </w:r>
    </w:p>
    <w:p w14:paraId="309E96FD" w14:textId="766FA7DC" w:rsidR="00AE2E34" w:rsidRPr="00A55287" w:rsidRDefault="00AE2E34" w:rsidP="00A55287">
      <w:pPr>
        <w:jc w:val="both"/>
        <w:rPr>
          <w:rFonts w:ascii="Arial" w:hAnsi="Arial" w:cs="Arial"/>
          <w:sz w:val="20"/>
          <w:szCs w:val="20"/>
        </w:rPr>
      </w:pPr>
      <w:r>
        <w:rPr>
          <w:rFonts w:ascii="Arial" w:hAnsi="Arial" w:cs="Arial"/>
          <w:sz w:val="20"/>
          <w:szCs w:val="20"/>
        </w:rPr>
        <w:t xml:space="preserve">b. </w:t>
      </w:r>
      <w:r w:rsidRPr="00AE2E34">
        <w:rPr>
          <w:rFonts w:ascii="Arial" w:hAnsi="Arial" w:cs="Arial"/>
          <w:sz w:val="20"/>
          <w:szCs w:val="20"/>
        </w:rPr>
        <w:t>Los resultados básicos esperados del aforo peatonal comprenden la determinación de las intensidades horarias (pico peatonal), la identificación de zonas críticas de cruce, el cálculo de la demora peatonal promedio y del nivel de exposición al riesgo, la evaluación de la capacidad peatonal del entorno (andenes, bermas y pasos), así como el análisis conjunto con los resultados vehiculares para definir interacciones y conflictos vehiculares y peatonales. Adicionalmente, se incluye el diagnóstico integral de la movilidad peatonal, la identificación de deficiencias en la infraestructura peatonal (ausencia de andenes, pasos, señalización o rampas) y la conformación de una base técnica para definir pasos seguros, cebras o pasos a nivel, canales de cruce o refugios peatonales, recomendaciones de diseño y posibles bahías de espera o reubicación de paraderos.</w:t>
      </w:r>
    </w:p>
    <w:p w14:paraId="0C3E5AE9" w14:textId="52339840" w:rsidR="00A55287" w:rsidRPr="00A55287" w:rsidRDefault="00AE2E34" w:rsidP="00A55287">
      <w:pPr>
        <w:jc w:val="both"/>
        <w:rPr>
          <w:rFonts w:ascii="Arial" w:hAnsi="Arial" w:cs="Arial"/>
          <w:sz w:val="20"/>
          <w:szCs w:val="20"/>
        </w:rPr>
      </w:pPr>
      <w:r>
        <w:rPr>
          <w:rFonts w:ascii="Arial" w:hAnsi="Arial" w:cs="Arial"/>
          <w:sz w:val="20"/>
          <w:szCs w:val="20"/>
        </w:rPr>
        <w:t>c</w:t>
      </w:r>
      <w:r w:rsidR="003164E8">
        <w:rPr>
          <w:rFonts w:ascii="Arial" w:hAnsi="Arial" w:cs="Arial"/>
          <w:sz w:val="20"/>
          <w:szCs w:val="20"/>
        </w:rPr>
        <w:t xml:space="preserve">. </w:t>
      </w:r>
      <w:r w:rsidR="00BD5EA0">
        <w:rPr>
          <w:rFonts w:ascii="Arial" w:hAnsi="Arial" w:cs="Arial"/>
          <w:sz w:val="20"/>
          <w:szCs w:val="20"/>
        </w:rPr>
        <w:t xml:space="preserve">Análisis del </w:t>
      </w:r>
      <w:r w:rsidR="00A55287" w:rsidRPr="00A55287">
        <w:rPr>
          <w:rFonts w:ascii="Arial" w:hAnsi="Arial" w:cs="Arial"/>
          <w:sz w:val="20"/>
          <w:szCs w:val="20"/>
        </w:rPr>
        <w:t xml:space="preserve">transporte público, </w:t>
      </w:r>
      <w:r w:rsidR="003164E8">
        <w:rPr>
          <w:rFonts w:ascii="Arial" w:hAnsi="Arial" w:cs="Arial"/>
          <w:sz w:val="20"/>
          <w:szCs w:val="20"/>
        </w:rPr>
        <w:t>que incluya</w:t>
      </w:r>
      <w:r w:rsidR="00A55287" w:rsidRPr="00A55287">
        <w:rPr>
          <w:rFonts w:ascii="Arial" w:hAnsi="Arial" w:cs="Arial"/>
          <w:sz w:val="20"/>
          <w:szCs w:val="20"/>
        </w:rPr>
        <w:t>:</w:t>
      </w:r>
      <w:r w:rsidR="003164E8">
        <w:rPr>
          <w:rFonts w:ascii="Arial" w:hAnsi="Arial" w:cs="Arial"/>
          <w:sz w:val="20"/>
          <w:szCs w:val="20"/>
        </w:rPr>
        <w:t xml:space="preserve"> i</w:t>
      </w:r>
      <w:r w:rsidR="00A55287" w:rsidRPr="00A55287">
        <w:rPr>
          <w:rFonts w:ascii="Arial" w:hAnsi="Arial" w:cs="Arial"/>
          <w:sz w:val="20"/>
          <w:szCs w:val="20"/>
        </w:rPr>
        <w:t>dentificación de paraderos, rutas y frecuencias de operación</w:t>
      </w:r>
      <w:r w:rsidR="00840796">
        <w:rPr>
          <w:rFonts w:ascii="Arial" w:hAnsi="Arial" w:cs="Arial"/>
          <w:sz w:val="20"/>
          <w:szCs w:val="20"/>
        </w:rPr>
        <w:t>,</w:t>
      </w:r>
      <w:r w:rsidR="003164E8">
        <w:rPr>
          <w:rFonts w:ascii="Arial" w:hAnsi="Arial" w:cs="Arial"/>
          <w:sz w:val="20"/>
          <w:szCs w:val="20"/>
        </w:rPr>
        <w:t xml:space="preserve"> </w:t>
      </w:r>
      <w:r w:rsidR="00840796" w:rsidRPr="007F4E1C">
        <w:rPr>
          <w:rFonts w:ascii="Arial" w:eastAsia="Arial" w:hAnsi="Arial" w:cs="Arial"/>
          <w:sz w:val="20"/>
          <w:szCs w:val="20"/>
        </w:rPr>
        <w:t>maniobras de ascenso y descenso e impacto al flujo vehicular</w:t>
      </w:r>
      <w:r w:rsidR="00840796">
        <w:rPr>
          <w:rFonts w:ascii="Arial" w:hAnsi="Arial" w:cs="Arial"/>
          <w:sz w:val="20"/>
          <w:szCs w:val="20"/>
        </w:rPr>
        <w:t xml:space="preserve">, así como el </w:t>
      </w:r>
      <w:r w:rsidR="003164E8">
        <w:rPr>
          <w:rFonts w:ascii="Arial" w:hAnsi="Arial" w:cs="Arial"/>
          <w:sz w:val="20"/>
          <w:szCs w:val="20"/>
        </w:rPr>
        <w:t>r</w:t>
      </w:r>
      <w:r w:rsidR="00A55287" w:rsidRPr="00A55287">
        <w:rPr>
          <w:rFonts w:ascii="Arial" w:hAnsi="Arial" w:cs="Arial"/>
          <w:sz w:val="20"/>
          <w:szCs w:val="20"/>
        </w:rPr>
        <w:t>egistro fotográfico y descripción de puntos críticos de interacción modal.</w:t>
      </w:r>
    </w:p>
    <w:p w14:paraId="5137AB31" w14:textId="52F96F08" w:rsidR="00A55287" w:rsidRPr="001C3AE3" w:rsidRDefault="00AE2E34" w:rsidP="001C3AE3">
      <w:pPr>
        <w:widowControl w:val="0"/>
        <w:pBdr>
          <w:top w:val="nil"/>
          <w:left w:val="nil"/>
          <w:bottom w:val="nil"/>
          <w:right w:val="nil"/>
          <w:between w:val="nil"/>
        </w:pBdr>
        <w:tabs>
          <w:tab w:val="left" w:pos="1083"/>
        </w:tabs>
        <w:jc w:val="both"/>
        <w:rPr>
          <w:rFonts w:ascii="Arial" w:eastAsia="Arial" w:hAnsi="Arial" w:cs="Arial"/>
          <w:sz w:val="20"/>
          <w:szCs w:val="20"/>
        </w:rPr>
      </w:pPr>
      <w:r>
        <w:rPr>
          <w:rFonts w:ascii="Arial" w:hAnsi="Arial" w:cs="Arial"/>
          <w:sz w:val="20"/>
          <w:szCs w:val="20"/>
        </w:rPr>
        <w:t>d</w:t>
      </w:r>
      <w:r w:rsidR="003164E8">
        <w:rPr>
          <w:rFonts w:ascii="Arial" w:hAnsi="Arial" w:cs="Arial"/>
          <w:sz w:val="20"/>
          <w:szCs w:val="20"/>
        </w:rPr>
        <w:t>.</w:t>
      </w:r>
      <w:r w:rsidR="00A55287" w:rsidRPr="00A55287">
        <w:rPr>
          <w:rFonts w:ascii="Arial" w:hAnsi="Arial" w:cs="Arial"/>
          <w:sz w:val="20"/>
          <w:szCs w:val="20"/>
        </w:rPr>
        <w:t xml:space="preserve"> </w:t>
      </w:r>
      <w:r w:rsidR="003164E8">
        <w:rPr>
          <w:rFonts w:ascii="Arial" w:hAnsi="Arial" w:cs="Arial"/>
          <w:sz w:val="20"/>
          <w:szCs w:val="20"/>
        </w:rPr>
        <w:t>L</w:t>
      </w:r>
      <w:r w:rsidR="00A55287" w:rsidRPr="00A55287">
        <w:rPr>
          <w:rFonts w:ascii="Arial" w:hAnsi="Arial" w:cs="Arial"/>
          <w:sz w:val="20"/>
          <w:szCs w:val="20"/>
        </w:rPr>
        <w:t>evantamiento y análisis de estacionamientos</w:t>
      </w:r>
      <w:r w:rsidR="001C3AE3">
        <w:rPr>
          <w:rFonts w:ascii="Arial" w:hAnsi="Arial" w:cs="Arial"/>
          <w:sz w:val="20"/>
          <w:szCs w:val="20"/>
        </w:rPr>
        <w:t xml:space="preserve"> </w:t>
      </w:r>
      <w:r w:rsidR="001C3AE3" w:rsidRPr="007F4E1C">
        <w:rPr>
          <w:rFonts w:ascii="Arial" w:eastAsia="Arial" w:hAnsi="Arial" w:cs="Arial"/>
          <w:sz w:val="20"/>
          <w:szCs w:val="20"/>
        </w:rPr>
        <w:t>y zonas de carga, obteniendo para el análisis el inventario de estacionamientos, rotación y ocupación, duración promedio de estacionamiento, oferta, demanda, identificación de vehículos de carga y sus tiempos, análisis de impactos a la movilidad, etc.</w:t>
      </w:r>
    </w:p>
    <w:p w14:paraId="5218368A" w14:textId="63A5EB7E" w:rsidR="00A55287" w:rsidRPr="00A55287" w:rsidRDefault="00AE2E34" w:rsidP="00A55287">
      <w:pPr>
        <w:jc w:val="both"/>
        <w:rPr>
          <w:rFonts w:ascii="Arial" w:hAnsi="Arial" w:cs="Arial"/>
          <w:sz w:val="20"/>
          <w:szCs w:val="20"/>
        </w:rPr>
      </w:pPr>
      <w:r>
        <w:rPr>
          <w:rFonts w:ascii="Arial" w:hAnsi="Arial" w:cs="Arial"/>
          <w:sz w:val="20"/>
          <w:szCs w:val="20"/>
        </w:rPr>
        <w:lastRenderedPageBreak/>
        <w:t>e</w:t>
      </w:r>
      <w:r w:rsidR="003164E8">
        <w:rPr>
          <w:rFonts w:ascii="Arial" w:hAnsi="Arial" w:cs="Arial"/>
          <w:sz w:val="20"/>
          <w:szCs w:val="20"/>
        </w:rPr>
        <w:t>. a</w:t>
      </w:r>
      <w:r w:rsidR="00A55287" w:rsidRPr="00A55287">
        <w:rPr>
          <w:rFonts w:ascii="Arial" w:hAnsi="Arial" w:cs="Arial"/>
          <w:sz w:val="20"/>
          <w:szCs w:val="20"/>
        </w:rPr>
        <w:t>nálisis de velocidades y tiempos de recorrido, con medición de:</w:t>
      </w:r>
      <w:r w:rsidR="003164E8">
        <w:rPr>
          <w:rFonts w:ascii="Arial" w:hAnsi="Arial" w:cs="Arial"/>
          <w:sz w:val="20"/>
          <w:szCs w:val="20"/>
        </w:rPr>
        <w:t xml:space="preserve"> v</w:t>
      </w:r>
      <w:r w:rsidR="00A55287" w:rsidRPr="00A55287">
        <w:rPr>
          <w:rFonts w:ascii="Arial" w:hAnsi="Arial" w:cs="Arial"/>
          <w:sz w:val="20"/>
          <w:szCs w:val="20"/>
        </w:rPr>
        <w:t>elocidad de operación promedio y por segmento</w:t>
      </w:r>
      <w:r w:rsidR="001C3AE3">
        <w:rPr>
          <w:rFonts w:ascii="Arial" w:hAnsi="Arial" w:cs="Arial"/>
          <w:sz w:val="20"/>
          <w:szCs w:val="20"/>
        </w:rPr>
        <w:t xml:space="preserve">, </w:t>
      </w:r>
      <w:r w:rsidR="001C3AE3" w:rsidRPr="007F4E1C">
        <w:rPr>
          <w:rFonts w:ascii="Arial" w:eastAsia="Arial" w:hAnsi="Arial" w:cs="Arial"/>
          <w:sz w:val="20"/>
          <w:szCs w:val="20"/>
        </w:rPr>
        <w:t xml:space="preserve">obteniéndose las velocidades de operación en cada acceso (percentil 85), velocidades de aproximación a la intersección, tiempos de recorrido y demoras, así como la identificación de cuellos de botella y </w:t>
      </w:r>
      <w:bookmarkStart w:id="0" w:name="_Hlk213358133"/>
      <w:r w:rsidR="001C3AE3" w:rsidRPr="007F4E1C">
        <w:rPr>
          <w:rFonts w:ascii="Arial" w:eastAsia="Arial" w:hAnsi="Arial" w:cs="Arial"/>
          <w:sz w:val="20"/>
          <w:szCs w:val="20"/>
        </w:rPr>
        <w:t>longitudes de cola en horas pico</w:t>
      </w:r>
      <w:bookmarkEnd w:id="0"/>
      <w:r w:rsidR="001C3AE3" w:rsidRPr="007F4E1C">
        <w:rPr>
          <w:rFonts w:ascii="Arial" w:eastAsia="Arial" w:hAnsi="Arial" w:cs="Arial"/>
          <w:sz w:val="20"/>
          <w:szCs w:val="20"/>
        </w:rPr>
        <w:t>.</w:t>
      </w:r>
    </w:p>
    <w:p w14:paraId="46D54E06" w14:textId="7744EFF7" w:rsidR="00A55287" w:rsidRPr="00A55287" w:rsidRDefault="00AE2E34" w:rsidP="00A55287">
      <w:pPr>
        <w:jc w:val="both"/>
        <w:rPr>
          <w:rFonts w:ascii="Arial" w:hAnsi="Arial" w:cs="Arial"/>
          <w:sz w:val="20"/>
          <w:szCs w:val="20"/>
        </w:rPr>
      </w:pPr>
      <w:r>
        <w:rPr>
          <w:rFonts w:ascii="Arial" w:hAnsi="Arial" w:cs="Arial"/>
          <w:sz w:val="20"/>
          <w:szCs w:val="20"/>
        </w:rPr>
        <w:t>f</w:t>
      </w:r>
      <w:r w:rsidR="003164E8">
        <w:rPr>
          <w:rFonts w:ascii="Arial" w:hAnsi="Arial" w:cs="Arial"/>
          <w:sz w:val="20"/>
          <w:szCs w:val="20"/>
        </w:rPr>
        <w:t xml:space="preserve">. </w:t>
      </w:r>
      <w:r w:rsidR="00A55287" w:rsidRPr="00A55287">
        <w:rPr>
          <w:rFonts w:ascii="Arial" w:hAnsi="Arial" w:cs="Arial"/>
          <w:sz w:val="20"/>
          <w:szCs w:val="20"/>
        </w:rPr>
        <w:t>Cálculo y evaluación de la capacidad y nivel de servicio (LOS), desarrollado conforme a los lineamientos del Highway Capacity Manual (HCM) – 7th Edition (2022) o normativa aplicable, indicando:</w:t>
      </w:r>
      <w:r w:rsidR="003164E8">
        <w:rPr>
          <w:rFonts w:ascii="Arial" w:hAnsi="Arial" w:cs="Arial"/>
          <w:sz w:val="20"/>
          <w:szCs w:val="20"/>
        </w:rPr>
        <w:t xml:space="preserve"> p</w:t>
      </w:r>
      <w:r w:rsidR="00A55287" w:rsidRPr="00A55287">
        <w:rPr>
          <w:rFonts w:ascii="Arial" w:hAnsi="Arial" w:cs="Arial"/>
          <w:sz w:val="20"/>
          <w:szCs w:val="20"/>
        </w:rPr>
        <w:t>arámetros geométricos considerados</w:t>
      </w:r>
      <w:r w:rsidR="00FA5E71">
        <w:rPr>
          <w:rFonts w:ascii="Arial" w:hAnsi="Arial" w:cs="Arial"/>
          <w:sz w:val="20"/>
          <w:szCs w:val="20"/>
        </w:rPr>
        <w:t>,</w:t>
      </w:r>
      <w:r w:rsidR="003164E8">
        <w:rPr>
          <w:rFonts w:ascii="Arial" w:hAnsi="Arial" w:cs="Arial"/>
          <w:sz w:val="20"/>
          <w:szCs w:val="20"/>
        </w:rPr>
        <w:t xml:space="preserve"> r</w:t>
      </w:r>
      <w:r w:rsidR="00A55287" w:rsidRPr="00A55287">
        <w:rPr>
          <w:rFonts w:ascii="Arial" w:hAnsi="Arial" w:cs="Arial"/>
          <w:sz w:val="20"/>
          <w:szCs w:val="20"/>
        </w:rPr>
        <w:t>esultados por movimiento</w:t>
      </w:r>
      <w:r w:rsidR="00800341">
        <w:rPr>
          <w:rFonts w:ascii="Arial" w:hAnsi="Arial" w:cs="Arial"/>
          <w:sz w:val="20"/>
          <w:szCs w:val="20"/>
        </w:rPr>
        <w:t xml:space="preserve">, </w:t>
      </w:r>
      <w:r w:rsidR="00A55287" w:rsidRPr="00A55287">
        <w:rPr>
          <w:rFonts w:ascii="Arial" w:hAnsi="Arial" w:cs="Arial"/>
          <w:sz w:val="20"/>
          <w:szCs w:val="20"/>
        </w:rPr>
        <w:t>enfoque</w:t>
      </w:r>
      <w:r w:rsidR="00800341">
        <w:rPr>
          <w:rFonts w:ascii="Arial" w:hAnsi="Arial" w:cs="Arial"/>
          <w:sz w:val="20"/>
          <w:szCs w:val="20"/>
        </w:rPr>
        <w:t xml:space="preserve"> y</w:t>
      </w:r>
      <w:r w:rsidR="003164E8">
        <w:rPr>
          <w:rFonts w:ascii="Arial" w:hAnsi="Arial" w:cs="Arial"/>
          <w:sz w:val="20"/>
          <w:szCs w:val="20"/>
        </w:rPr>
        <w:t xml:space="preserve"> c</w:t>
      </w:r>
      <w:r w:rsidR="00A55287" w:rsidRPr="00A55287">
        <w:rPr>
          <w:rFonts w:ascii="Arial" w:hAnsi="Arial" w:cs="Arial"/>
          <w:sz w:val="20"/>
          <w:szCs w:val="20"/>
        </w:rPr>
        <w:t>lasificación del nivel de servicio para las condiciones actuales.</w:t>
      </w:r>
    </w:p>
    <w:p w14:paraId="73999297" w14:textId="76C21FA0" w:rsidR="00A55287" w:rsidRPr="00A55287" w:rsidRDefault="00AE2E34" w:rsidP="00A55287">
      <w:pPr>
        <w:jc w:val="both"/>
        <w:rPr>
          <w:rFonts w:ascii="Arial" w:hAnsi="Arial" w:cs="Arial"/>
          <w:sz w:val="20"/>
          <w:szCs w:val="20"/>
        </w:rPr>
      </w:pPr>
      <w:r>
        <w:rPr>
          <w:rFonts w:ascii="Arial" w:hAnsi="Arial" w:cs="Arial"/>
          <w:sz w:val="20"/>
          <w:szCs w:val="20"/>
        </w:rPr>
        <w:t>g</w:t>
      </w:r>
      <w:r w:rsidR="003164E8">
        <w:rPr>
          <w:rFonts w:ascii="Arial" w:hAnsi="Arial" w:cs="Arial"/>
          <w:sz w:val="20"/>
          <w:szCs w:val="20"/>
        </w:rPr>
        <w:t xml:space="preserve">. </w:t>
      </w:r>
      <w:r w:rsidR="00A55287" w:rsidRPr="00A55287">
        <w:rPr>
          <w:rFonts w:ascii="Arial" w:hAnsi="Arial" w:cs="Arial"/>
          <w:sz w:val="20"/>
          <w:szCs w:val="20"/>
        </w:rPr>
        <w:t>Diagnóstico integral de la situación de movilidad y seguridad vial, que identifique:</w:t>
      </w:r>
      <w:r w:rsidR="003164E8">
        <w:rPr>
          <w:rFonts w:ascii="Arial" w:hAnsi="Arial" w:cs="Arial"/>
          <w:sz w:val="20"/>
          <w:szCs w:val="20"/>
        </w:rPr>
        <w:t xml:space="preserve"> p</w:t>
      </w:r>
      <w:r w:rsidR="00A55287" w:rsidRPr="00A55287">
        <w:rPr>
          <w:rFonts w:ascii="Arial" w:hAnsi="Arial" w:cs="Arial"/>
          <w:sz w:val="20"/>
          <w:szCs w:val="20"/>
        </w:rPr>
        <w:t>roblemas funcionales, cuellos de botella</w:t>
      </w:r>
      <w:r w:rsidR="00800341">
        <w:rPr>
          <w:rFonts w:ascii="Arial" w:hAnsi="Arial" w:cs="Arial"/>
          <w:sz w:val="20"/>
          <w:szCs w:val="20"/>
        </w:rPr>
        <w:t xml:space="preserve">, </w:t>
      </w:r>
      <w:r w:rsidR="00A55287" w:rsidRPr="00A55287">
        <w:rPr>
          <w:rFonts w:ascii="Arial" w:hAnsi="Arial" w:cs="Arial"/>
          <w:sz w:val="20"/>
          <w:szCs w:val="20"/>
        </w:rPr>
        <w:t>maniobras críticas</w:t>
      </w:r>
      <w:r w:rsidR="00FA5E71">
        <w:rPr>
          <w:rFonts w:ascii="Arial" w:hAnsi="Arial" w:cs="Arial"/>
          <w:sz w:val="20"/>
          <w:szCs w:val="20"/>
        </w:rPr>
        <w:t>,</w:t>
      </w:r>
      <w:r w:rsidR="003164E8">
        <w:rPr>
          <w:rFonts w:ascii="Arial" w:hAnsi="Arial" w:cs="Arial"/>
          <w:sz w:val="20"/>
          <w:szCs w:val="20"/>
        </w:rPr>
        <w:t xml:space="preserve"> i</w:t>
      </w:r>
      <w:r w:rsidR="00A55287" w:rsidRPr="00A55287">
        <w:rPr>
          <w:rFonts w:ascii="Arial" w:hAnsi="Arial" w:cs="Arial"/>
          <w:sz w:val="20"/>
          <w:szCs w:val="20"/>
        </w:rPr>
        <w:t>nterferencias entre modos de transporte</w:t>
      </w:r>
      <w:r w:rsidR="00FA5E71">
        <w:rPr>
          <w:rFonts w:ascii="Arial" w:hAnsi="Arial" w:cs="Arial"/>
          <w:sz w:val="20"/>
          <w:szCs w:val="20"/>
        </w:rPr>
        <w:t xml:space="preserve">, </w:t>
      </w:r>
      <w:r w:rsidR="003164E8">
        <w:rPr>
          <w:rFonts w:ascii="Arial" w:hAnsi="Arial" w:cs="Arial"/>
          <w:sz w:val="20"/>
          <w:szCs w:val="20"/>
        </w:rPr>
        <w:t>c</w:t>
      </w:r>
      <w:r w:rsidR="00A55287" w:rsidRPr="00A55287">
        <w:rPr>
          <w:rFonts w:ascii="Arial" w:hAnsi="Arial" w:cs="Arial"/>
          <w:sz w:val="20"/>
          <w:szCs w:val="20"/>
        </w:rPr>
        <w:t>ondiciones de seguridad vial y factores de riesgo.</w:t>
      </w:r>
    </w:p>
    <w:p w14:paraId="51D440C0" w14:textId="0340CD37" w:rsidR="00A55287" w:rsidRPr="00A55287" w:rsidRDefault="00AE2E34" w:rsidP="00A55287">
      <w:pPr>
        <w:jc w:val="both"/>
        <w:rPr>
          <w:rFonts w:ascii="Arial" w:hAnsi="Arial" w:cs="Arial"/>
          <w:sz w:val="20"/>
          <w:szCs w:val="20"/>
        </w:rPr>
      </w:pPr>
      <w:r>
        <w:rPr>
          <w:rFonts w:ascii="Arial" w:hAnsi="Arial" w:cs="Arial"/>
          <w:sz w:val="20"/>
          <w:szCs w:val="20"/>
        </w:rPr>
        <w:t>h</w:t>
      </w:r>
      <w:r w:rsidR="003164E8">
        <w:rPr>
          <w:rFonts w:ascii="Arial" w:hAnsi="Arial" w:cs="Arial"/>
          <w:sz w:val="20"/>
          <w:szCs w:val="20"/>
        </w:rPr>
        <w:t xml:space="preserve">. </w:t>
      </w:r>
      <w:r w:rsidR="00A55287" w:rsidRPr="00A55287">
        <w:rPr>
          <w:rFonts w:ascii="Arial" w:hAnsi="Arial" w:cs="Arial"/>
          <w:sz w:val="20"/>
          <w:szCs w:val="20"/>
        </w:rPr>
        <w:t>Definición de parámetros de diseño y recomendaciones técnicas</w:t>
      </w:r>
      <w:r w:rsidR="00800341">
        <w:rPr>
          <w:rFonts w:ascii="Arial" w:hAnsi="Arial" w:cs="Arial"/>
          <w:sz w:val="20"/>
          <w:szCs w:val="20"/>
        </w:rPr>
        <w:t>;</w:t>
      </w:r>
      <w:r w:rsidR="00A55287" w:rsidRPr="00A55287">
        <w:rPr>
          <w:rFonts w:ascii="Arial" w:hAnsi="Arial" w:cs="Arial"/>
          <w:sz w:val="20"/>
          <w:szCs w:val="20"/>
        </w:rPr>
        <w:t xml:space="preserve"> con base en los resultados del estudio, </w:t>
      </w:r>
      <w:r w:rsidR="00800341">
        <w:rPr>
          <w:rFonts w:ascii="Arial" w:hAnsi="Arial" w:cs="Arial"/>
          <w:sz w:val="20"/>
          <w:szCs w:val="20"/>
        </w:rPr>
        <w:t>se orientará</w:t>
      </w:r>
      <w:r w:rsidR="00A55287" w:rsidRPr="00A55287">
        <w:rPr>
          <w:rFonts w:ascii="Arial" w:hAnsi="Arial" w:cs="Arial"/>
          <w:sz w:val="20"/>
          <w:szCs w:val="20"/>
        </w:rPr>
        <w:t xml:space="preserve"> la formulación de las alternativas geométricas y operativas del proyecto.</w:t>
      </w:r>
    </w:p>
    <w:p w14:paraId="01ED5DC0" w14:textId="435EBE33" w:rsidR="00EE657A" w:rsidRPr="00EE657A" w:rsidRDefault="00AE2E34" w:rsidP="00A55287">
      <w:pPr>
        <w:jc w:val="both"/>
        <w:rPr>
          <w:rFonts w:ascii="Arial" w:hAnsi="Arial" w:cs="Arial"/>
          <w:sz w:val="20"/>
          <w:szCs w:val="20"/>
        </w:rPr>
      </w:pPr>
      <w:r>
        <w:rPr>
          <w:rFonts w:ascii="Arial" w:hAnsi="Arial" w:cs="Arial"/>
          <w:sz w:val="20"/>
          <w:szCs w:val="20"/>
        </w:rPr>
        <w:t>i</w:t>
      </w:r>
      <w:r w:rsidR="003164E8">
        <w:rPr>
          <w:rFonts w:ascii="Arial" w:hAnsi="Arial" w:cs="Arial"/>
          <w:sz w:val="20"/>
          <w:szCs w:val="20"/>
        </w:rPr>
        <w:t xml:space="preserve">. </w:t>
      </w:r>
      <w:r w:rsidR="00A55287" w:rsidRPr="00A55287">
        <w:rPr>
          <w:rFonts w:ascii="Arial" w:hAnsi="Arial" w:cs="Arial"/>
          <w:sz w:val="20"/>
          <w:szCs w:val="20"/>
        </w:rPr>
        <w:t>Memoria técnica final, que consolide todos los análisis, resultados, tablas de aforos y conclusiones del estudio, constituyendo el insumo técnico para el desarrollo de las fases posteriores del proyecto.</w:t>
      </w:r>
    </w:p>
    <w:p w14:paraId="44D8C01B" w14:textId="22F5E842" w:rsidR="00EE657A" w:rsidRPr="00EE657A" w:rsidRDefault="003164E8" w:rsidP="00EE657A">
      <w:pPr>
        <w:jc w:val="both"/>
        <w:rPr>
          <w:rFonts w:ascii="Arial" w:hAnsi="Arial" w:cs="Arial"/>
          <w:sz w:val="20"/>
          <w:szCs w:val="20"/>
        </w:rPr>
      </w:pPr>
      <w:r>
        <w:rPr>
          <w:rFonts w:ascii="Arial" w:hAnsi="Arial" w:cs="Arial"/>
          <w:sz w:val="20"/>
          <w:szCs w:val="20"/>
        </w:rPr>
        <w:t xml:space="preserve">2.2. </w:t>
      </w:r>
      <w:r w:rsidR="00EE657A" w:rsidRPr="00EE657A">
        <w:rPr>
          <w:rFonts w:ascii="Arial" w:hAnsi="Arial" w:cs="Arial"/>
          <w:sz w:val="20"/>
          <w:szCs w:val="20"/>
        </w:rPr>
        <w:t>Conclusiones</w:t>
      </w:r>
    </w:p>
    <w:p w14:paraId="4A4EB440" w14:textId="73B9993C" w:rsidR="00EE657A" w:rsidRPr="00EE657A" w:rsidRDefault="00EE657A" w:rsidP="00EE657A">
      <w:pPr>
        <w:jc w:val="both"/>
        <w:rPr>
          <w:rFonts w:ascii="Arial" w:hAnsi="Arial" w:cs="Arial"/>
          <w:sz w:val="20"/>
          <w:szCs w:val="20"/>
        </w:rPr>
      </w:pPr>
      <w:r w:rsidRPr="00EE657A">
        <w:rPr>
          <w:rFonts w:ascii="Arial" w:hAnsi="Arial" w:cs="Arial"/>
          <w:sz w:val="20"/>
          <w:szCs w:val="20"/>
        </w:rPr>
        <w:t xml:space="preserve">El Estudio de Tránsito, Capacidad, Niveles de Servicio, Estacionamientos y Velocidades proporcionará la información base </w:t>
      </w:r>
      <w:r w:rsidR="003164E8">
        <w:rPr>
          <w:rFonts w:ascii="Arial" w:hAnsi="Arial" w:cs="Arial"/>
          <w:sz w:val="20"/>
          <w:szCs w:val="20"/>
        </w:rPr>
        <w:t xml:space="preserve">para la </w:t>
      </w:r>
      <w:r w:rsidRPr="00EE657A">
        <w:rPr>
          <w:rFonts w:ascii="Arial" w:hAnsi="Arial" w:cs="Arial"/>
          <w:sz w:val="20"/>
          <w:szCs w:val="20"/>
        </w:rPr>
        <w:t>correcta formulación de las alternativas de solución para la intersección del Crucero de Combia, en términos de funcionalidad, seguridad y eficiencia operacional.</w:t>
      </w:r>
    </w:p>
    <w:p w14:paraId="564512B1" w14:textId="4865CDBF" w:rsidR="00EE657A" w:rsidRDefault="00EE657A" w:rsidP="00EE657A">
      <w:pPr>
        <w:jc w:val="both"/>
        <w:rPr>
          <w:rFonts w:ascii="Arial" w:hAnsi="Arial" w:cs="Arial"/>
          <w:sz w:val="20"/>
          <w:szCs w:val="20"/>
        </w:rPr>
      </w:pPr>
      <w:r w:rsidRPr="00EE657A">
        <w:rPr>
          <w:rFonts w:ascii="Arial" w:hAnsi="Arial" w:cs="Arial"/>
          <w:sz w:val="20"/>
          <w:szCs w:val="20"/>
        </w:rPr>
        <w:t>En conjunto, este estudio busca garantizar que las futuras intervenciones se fundamenten en un diagnóstico técnico sólido, orientado a optimizar la movilidad y reducir los factores de riesgo vial en el sector.</w:t>
      </w:r>
    </w:p>
    <w:p w14:paraId="273D94D9" w14:textId="43CDC1BC" w:rsidR="00F93472" w:rsidRPr="00F93472" w:rsidRDefault="00F93472" w:rsidP="00F93472">
      <w:pPr>
        <w:rPr>
          <w:rFonts w:ascii="Arial" w:hAnsi="Arial" w:cs="Arial"/>
          <w:sz w:val="20"/>
          <w:szCs w:val="20"/>
        </w:rPr>
      </w:pPr>
      <w:r w:rsidRPr="00F93472">
        <w:rPr>
          <w:rFonts w:ascii="Arial" w:hAnsi="Arial" w:cs="Arial"/>
          <w:sz w:val="20"/>
          <w:szCs w:val="20"/>
        </w:rPr>
        <w:t>Volumen</w:t>
      </w:r>
      <w:r w:rsidR="001174D9">
        <w:rPr>
          <w:rFonts w:ascii="Arial" w:hAnsi="Arial" w:cs="Arial"/>
          <w:sz w:val="20"/>
          <w:szCs w:val="20"/>
        </w:rPr>
        <w:t xml:space="preserve"> 3. </w:t>
      </w:r>
      <w:r w:rsidRPr="00F93472">
        <w:rPr>
          <w:rFonts w:ascii="Arial" w:hAnsi="Arial" w:cs="Arial"/>
          <w:sz w:val="20"/>
          <w:szCs w:val="20"/>
        </w:rPr>
        <w:t>INFORME ETAPA 1 - PRESENTACIÓN DE ALTERNATIVAS</w:t>
      </w:r>
    </w:p>
    <w:p w14:paraId="3BE6C03A" w14:textId="6800A1D7" w:rsidR="00F93472" w:rsidRDefault="00F93472" w:rsidP="00EE657A">
      <w:pPr>
        <w:jc w:val="both"/>
        <w:rPr>
          <w:rFonts w:ascii="Arial" w:hAnsi="Arial" w:cs="Arial"/>
          <w:sz w:val="20"/>
          <w:szCs w:val="20"/>
        </w:rPr>
      </w:pPr>
      <w:r w:rsidRPr="00F93472">
        <w:rPr>
          <w:rFonts w:ascii="Arial" w:hAnsi="Arial" w:cs="Arial"/>
          <w:sz w:val="20"/>
          <w:szCs w:val="20"/>
        </w:rPr>
        <w:t>El presente volumen tiene por objeto definir los lineamientos para la formulación y evaluación de alternativas de intervención en la intersección del Crucero de Combia, con base en el diagnóstico efectuado en el Estudio de Tránsito, Capacidad, Niveles de Servicio, Estacionamientos y Velocidades. El propósito es identificar y comparar distintas soluciones geométricas y operativas que mejoren la movilidad, la funcionalidad y la seguridad vial del sector, considerando la demanda actual y proyectada de tránsito.</w:t>
      </w:r>
    </w:p>
    <w:p w14:paraId="6D7455E8" w14:textId="352F27DF" w:rsidR="00837A40" w:rsidRPr="009B558F" w:rsidRDefault="00EB527B" w:rsidP="00837A40">
      <w:pPr>
        <w:jc w:val="both"/>
        <w:rPr>
          <w:rFonts w:ascii="Arial" w:hAnsi="Arial" w:cs="Arial"/>
          <w:sz w:val="20"/>
          <w:szCs w:val="20"/>
        </w:rPr>
      </w:pPr>
      <w:r w:rsidRPr="009B558F">
        <w:rPr>
          <w:rFonts w:ascii="Arial" w:hAnsi="Arial" w:cs="Arial"/>
          <w:sz w:val="20"/>
          <w:szCs w:val="20"/>
        </w:rPr>
        <w:t>El consultor deberá valorar opciones que impliquen modificaciones en el trazado o en la configuración geométrica, tales como la implementación de vías alternas, pares viales o intercambiadores viales que permitan una reorganización eficiente de los flujos de tránsito y la redistribución de cargas vehiculares en la red vial. Estas propuestas deberán considerar escenarios que favorezcan la conectividad, la reducción de conflictos en las intersecciones y la mejora de los tiempos de recorrido</w:t>
      </w:r>
      <w:r w:rsidR="003F4C78" w:rsidRPr="009B558F">
        <w:rPr>
          <w:rFonts w:ascii="Arial" w:hAnsi="Arial" w:cs="Arial"/>
          <w:sz w:val="20"/>
          <w:szCs w:val="20"/>
        </w:rPr>
        <w:t xml:space="preserve"> en escenarios </w:t>
      </w:r>
      <w:r w:rsidR="00837A40" w:rsidRPr="009B558F">
        <w:rPr>
          <w:rFonts w:ascii="Arial" w:hAnsi="Arial" w:cs="Arial"/>
          <w:sz w:val="20"/>
          <w:szCs w:val="20"/>
        </w:rPr>
        <w:t>futuros a 20 años.</w:t>
      </w:r>
    </w:p>
    <w:p w14:paraId="597C9C90" w14:textId="456A3B8F" w:rsidR="00616CC2" w:rsidRPr="009B558F" w:rsidRDefault="00616CC2" w:rsidP="00616CC2">
      <w:pPr>
        <w:jc w:val="both"/>
        <w:rPr>
          <w:rFonts w:ascii="Arial" w:hAnsi="Arial" w:cs="Arial"/>
          <w:sz w:val="20"/>
          <w:szCs w:val="20"/>
        </w:rPr>
      </w:pPr>
      <w:r w:rsidRPr="009B558F">
        <w:rPr>
          <w:rFonts w:ascii="Arial" w:hAnsi="Arial" w:cs="Arial"/>
          <w:sz w:val="20"/>
          <w:szCs w:val="20"/>
        </w:rPr>
        <w:t xml:space="preserve">Asimismo, el consultor </w:t>
      </w:r>
      <w:r w:rsidR="009B558F" w:rsidRPr="009B558F">
        <w:rPr>
          <w:rFonts w:ascii="Arial" w:hAnsi="Arial" w:cs="Arial"/>
          <w:sz w:val="20"/>
          <w:szCs w:val="20"/>
        </w:rPr>
        <w:t>deberá</w:t>
      </w:r>
      <w:r w:rsidRPr="009B558F">
        <w:rPr>
          <w:rFonts w:ascii="Arial" w:hAnsi="Arial" w:cs="Arial"/>
          <w:sz w:val="20"/>
          <w:szCs w:val="20"/>
        </w:rPr>
        <w:t xml:space="preserve"> analizar alternativas complementarias como ampliaciones de calzada, rediseño de giros, optimización de la intersección existente, y la gestión operativa del tránsito, empleando el tránsito proyectado a </w:t>
      </w:r>
      <w:r w:rsidR="00645B54" w:rsidRPr="009B558F">
        <w:rPr>
          <w:rFonts w:ascii="Arial" w:hAnsi="Arial" w:cs="Arial"/>
          <w:sz w:val="20"/>
          <w:szCs w:val="20"/>
        </w:rPr>
        <w:t>diez</w:t>
      </w:r>
      <w:r w:rsidRPr="009B558F">
        <w:rPr>
          <w:rFonts w:ascii="Arial" w:hAnsi="Arial" w:cs="Arial"/>
          <w:sz w:val="20"/>
          <w:szCs w:val="20"/>
        </w:rPr>
        <w:t xml:space="preserve"> años como escenario de diseño</w:t>
      </w:r>
      <w:r w:rsidR="00645B54" w:rsidRPr="009B558F">
        <w:rPr>
          <w:rFonts w:ascii="Arial" w:hAnsi="Arial" w:cs="Arial"/>
          <w:sz w:val="20"/>
          <w:szCs w:val="20"/>
        </w:rPr>
        <w:t xml:space="preserve">. </w:t>
      </w:r>
    </w:p>
    <w:p w14:paraId="1C8F1369" w14:textId="61004A65" w:rsidR="00616CC2" w:rsidRPr="009B558F" w:rsidRDefault="00616CC2" w:rsidP="00616CC2">
      <w:pPr>
        <w:jc w:val="both"/>
        <w:rPr>
          <w:rFonts w:ascii="Arial" w:hAnsi="Arial" w:cs="Arial"/>
          <w:sz w:val="20"/>
          <w:szCs w:val="20"/>
        </w:rPr>
      </w:pPr>
      <w:r w:rsidRPr="009B558F">
        <w:rPr>
          <w:rFonts w:ascii="Arial" w:hAnsi="Arial" w:cs="Arial"/>
          <w:sz w:val="20"/>
          <w:szCs w:val="20"/>
        </w:rPr>
        <w:t xml:space="preserve">Dichas alternativas podrán incluir medidas tales como ajustes en la demarcación horizontal, canalizaciones, control del estacionamiento, creación de bahías de regulación y paraderos formales de transporte público, así como estrategias de gestión de horarios de cargue y descargue, </w:t>
      </w:r>
      <w:r w:rsidRPr="009B558F">
        <w:rPr>
          <w:rFonts w:ascii="Arial" w:hAnsi="Arial" w:cs="Arial"/>
          <w:sz w:val="20"/>
          <w:szCs w:val="20"/>
        </w:rPr>
        <w:lastRenderedPageBreak/>
        <w:t>priorización</w:t>
      </w:r>
      <w:r w:rsidR="00E86FE0" w:rsidRPr="009B558F">
        <w:rPr>
          <w:rFonts w:ascii="Arial" w:hAnsi="Arial" w:cs="Arial"/>
          <w:sz w:val="20"/>
          <w:szCs w:val="20"/>
        </w:rPr>
        <w:t xml:space="preserve"> de pasos o implementación de sistemas </w:t>
      </w:r>
      <w:r w:rsidRPr="009B558F">
        <w:rPr>
          <w:rFonts w:ascii="Arial" w:hAnsi="Arial" w:cs="Arial"/>
          <w:sz w:val="20"/>
          <w:szCs w:val="20"/>
        </w:rPr>
        <w:t>semafóric</w:t>
      </w:r>
      <w:r w:rsidR="00E86FE0" w:rsidRPr="009B558F">
        <w:rPr>
          <w:rFonts w:ascii="Arial" w:hAnsi="Arial" w:cs="Arial"/>
          <w:sz w:val="20"/>
          <w:szCs w:val="20"/>
        </w:rPr>
        <w:t>os</w:t>
      </w:r>
      <w:r w:rsidRPr="009B558F">
        <w:rPr>
          <w:rFonts w:ascii="Arial" w:hAnsi="Arial" w:cs="Arial"/>
          <w:sz w:val="20"/>
          <w:szCs w:val="20"/>
        </w:rPr>
        <w:t xml:space="preserve"> u otras acciones de movilidad inteligente que contribuyan al mejoramiento integral de la movilidad y la seguridad vial del sector.</w:t>
      </w:r>
    </w:p>
    <w:p w14:paraId="3BF87A85" w14:textId="06F917E6" w:rsidR="00616CC2" w:rsidRPr="009B558F" w:rsidRDefault="009B558F" w:rsidP="009B558F">
      <w:pPr>
        <w:widowControl w:val="0"/>
        <w:pBdr>
          <w:top w:val="nil"/>
          <w:left w:val="nil"/>
          <w:bottom w:val="nil"/>
          <w:right w:val="nil"/>
          <w:between w:val="nil"/>
        </w:pBdr>
        <w:tabs>
          <w:tab w:val="left" w:pos="1083"/>
        </w:tabs>
        <w:jc w:val="both"/>
        <w:rPr>
          <w:rFonts w:ascii="Arial" w:eastAsia="Arial" w:hAnsi="Arial" w:cs="Arial"/>
          <w:sz w:val="20"/>
          <w:szCs w:val="20"/>
        </w:rPr>
      </w:pPr>
      <w:r w:rsidRPr="009B558F">
        <w:rPr>
          <w:rFonts w:ascii="Arial" w:eastAsia="Arial" w:hAnsi="Arial" w:cs="Arial"/>
          <w:sz w:val="20"/>
          <w:szCs w:val="20"/>
        </w:rPr>
        <w:t>De igual forma, el consultor deberá contemplar la evaluación de estrategias de gestión del suelo, tales como la adquisición o reubicación de predios con alta atracción o generación de viajes, cuando dichas acciones contribuyan a disminuir la presión de tráfico sobre la intersección o el área de influencia analizada.</w:t>
      </w:r>
    </w:p>
    <w:p w14:paraId="114EE9CD" w14:textId="4DE825D8" w:rsidR="007244DF" w:rsidRDefault="007932B6" w:rsidP="00EE657A">
      <w:pPr>
        <w:jc w:val="both"/>
        <w:rPr>
          <w:rFonts w:ascii="Arial" w:hAnsi="Arial" w:cs="Arial"/>
          <w:sz w:val="20"/>
          <w:szCs w:val="20"/>
        </w:rPr>
      </w:pPr>
      <w:r w:rsidRPr="009B558F">
        <w:rPr>
          <w:rFonts w:ascii="Arial" w:hAnsi="Arial" w:cs="Arial"/>
          <w:sz w:val="20"/>
          <w:szCs w:val="20"/>
        </w:rPr>
        <w:t xml:space="preserve">Cada alternativa deberá sustentarse mediante el análisis de capacidad y nivel de servicio proyectado, conforme a la metodología del </w:t>
      </w:r>
      <w:r w:rsidRPr="009B558F">
        <w:rPr>
          <w:rFonts w:ascii="Arial" w:hAnsi="Arial" w:cs="Arial"/>
          <w:i/>
          <w:iCs/>
          <w:sz w:val="20"/>
          <w:szCs w:val="20"/>
        </w:rPr>
        <w:t>Highway Capacity Manual</w:t>
      </w:r>
      <w:r w:rsidRPr="009B558F">
        <w:rPr>
          <w:rFonts w:ascii="Arial" w:hAnsi="Arial" w:cs="Arial"/>
          <w:sz w:val="20"/>
          <w:szCs w:val="20"/>
        </w:rPr>
        <w:t xml:space="preserve"> (HCM) – 7th Edition (2022) o la normativa vigente aplicable, comparando los resultados frente al escenario base</w:t>
      </w:r>
      <w:r w:rsidR="007244DF" w:rsidRPr="009B558F">
        <w:rPr>
          <w:rFonts w:ascii="Arial" w:hAnsi="Arial" w:cs="Arial"/>
          <w:sz w:val="20"/>
          <w:szCs w:val="20"/>
        </w:rPr>
        <w:t>.</w:t>
      </w:r>
    </w:p>
    <w:p w14:paraId="5CD66D79" w14:textId="05949203" w:rsidR="007932B6" w:rsidRPr="007932B6" w:rsidRDefault="007932B6" w:rsidP="007932B6">
      <w:pPr>
        <w:jc w:val="both"/>
        <w:rPr>
          <w:rFonts w:ascii="Arial" w:hAnsi="Arial" w:cs="Arial"/>
          <w:sz w:val="20"/>
          <w:szCs w:val="20"/>
        </w:rPr>
      </w:pPr>
      <w:r>
        <w:rPr>
          <w:rFonts w:ascii="Arial" w:hAnsi="Arial" w:cs="Arial"/>
          <w:sz w:val="20"/>
          <w:szCs w:val="20"/>
        </w:rPr>
        <w:t xml:space="preserve">3.1. </w:t>
      </w:r>
      <w:r w:rsidRPr="007932B6">
        <w:rPr>
          <w:rFonts w:ascii="Arial" w:hAnsi="Arial" w:cs="Arial"/>
          <w:sz w:val="20"/>
          <w:szCs w:val="20"/>
        </w:rPr>
        <w:t>Entregables</w:t>
      </w:r>
    </w:p>
    <w:p w14:paraId="146C28D2" w14:textId="2FB21FDC" w:rsidR="007932B6" w:rsidRPr="007932B6" w:rsidRDefault="007932B6" w:rsidP="007932B6">
      <w:pPr>
        <w:jc w:val="both"/>
        <w:rPr>
          <w:rFonts w:ascii="Arial" w:hAnsi="Arial" w:cs="Arial"/>
          <w:sz w:val="20"/>
          <w:szCs w:val="20"/>
        </w:rPr>
      </w:pPr>
      <w:r w:rsidRPr="007932B6">
        <w:rPr>
          <w:rFonts w:ascii="Arial" w:hAnsi="Arial" w:cs="Arial"/>
          <w:sz w:val="20"/>
          <w:szCs w:val="20"/>
        </w:rPr>
        <w:t>El consultor deberá presentar un Informe Etapa 1 – Presentación de Alternativas, que contenga como mínimo:</w:t>
      </w:r>
    </w:p>
    <w:p w14:paraId="0942A24C" w14:textId="41A4EBD1" w:rsidR="009B558F" w:rsidRPr="007932B6" w:rsidRDefault="007932B6" w:rsidP="007932B6">
      <w:pPr>
        <w:jc w:val="both"/>
        <w:rPr>
          <w:rFonts w:ascii="Arial" w:hAnsi="Arial" w:cs="Arial"/>
          <w:sz w:val="20"/>
          <w:szCs w:val="20"/>
        </w:rPr>
      </w:pPr>
      <w:r>
        <w:rPr>
          <w:rFonts w:ascii="Arial" w:hAnsi="Arial" w:cs="Arial"/>
          <w:sz w:val="20"/>
          <w:szCs w:val="20"/>
        </w:rPr>
        <w:t xml:space="preserve">a. </w:t>
      </w:r>
      <w:r w:rsidRPr="007932B6">
        <w:rPr>
          <w:rFonts w:ascii="Arial" w:hAnsi="Arial" w:cs="Arial"/>
          <w:sz w:val="20"/>
          <w:szCs w:val="20"/>
        </w:rPr>
        <w:t>Descripción técnica y justificación de las alternativas formuladas</w:t>
      </w:r>
      <w:r w:rsidR="00F87EC5">
        <w:rPr>
          <w:rFonts w:ascii="Arial" w:hAnsi="Arial" w:cs="Arial"/>
          <w:sz w:val="20"/>
          <w:szCs w:val="20"/>
        </w:rPr>
        <w:t>, tanto de carácter geométrico como operativo</w:t>
      </w:r>
      <w:r w:rsidRPr="007932B6">
        <w:rPr>
          <w:rFonts w:ascii="Arial" w:hAnsi="Arial" w:cs="Arial"/>
          <w:sz w:val="20"/>
          <w:szCs w:val="20"/>
        </w:rPr>
        <w:t>.</w:t>
      </w:r>
    </w:p>
    <w:p w14:paraId="218FDABB" w14:textId="0CA133FA" w:rsidR="009B558F" w:rsidRDefault="007932B6" w:rsidP="007932B6">
      <w:pPr>
        <w:jc w:val="both"/>
        <w:rPr>
          <w:rFonts w:ascii="Arial" w:hAnsi="Arial" w:cs="Arial"/>
          <w:sz w:val="20"/>
          <w:szCs w:val="20"/>
        </w:rPr>
      </w:pPr>
      <w:r>
        <w:rPr>
          <w:rFonts w:ascii="Arial" w:hAnsi="Arial" w:cs="Arial"/>
          <w:sz w:val="20"/>
          <w:szCs w:val="20"/>
        </w:rPr>
        <w:t>b.</w:t>
      </w:r>
      <w:r w:rsidR="009B558F">
        <w:rPr>
          <w:rFonts w:ascii="Arial" w:hAnsi="Arial" w:cs="Arial"/>
          <w:sz w:val="20"/>
          <w:szCs w:val="20"/>
        </w:rPr>
        <w:t xml:space="preserve"> </w:t>
      </w:r>
      <w:r w:rsidR="009B558F" w:rsidRPr="007932B6">
        <w:rPr>
          <w:rFonts w:ascii="Arial" w:hAnsi="Arial" w:cs="Arial"/>
          <w:sz w:val="20"/>
          <w:szCs w:val="20"/>
        </w:rPr>
        <w:t>Evaluación de capacidad, nivel de servicio y seguridad vial de cada alternativa</w:t>
      </w:r>
      <w:r w:rsidR="009B558F">
        <w:rPr>
          <w:rFonts w:ascii="Arial" w:hAnsi="Arial" w:cs="Arial"/>
          <w:sz w:val="20"/>
          <w:szCs w:val="20"/>
        </w:rPr>
        <w:t xml:space="preserve"> con el transito proyectado</w:t>
      </w:r>
      <w:r w:rsidR="009B558F" w:rsidRPr="007932B6">
        <w:rPr>
          <w:rFonts w:ascii="Arial" w:hAnsi="Arial" w:cs="Arial"/>
          <w:sz w:val="20"/>
          <w:szCs w:val="20"/>
        </w:rPr>
        <w:t>.</w:t>
      </w:r>
    </w:p>
    <w:p w14:paraId="06F7224C" w14:textId="6EF78AB0" w:rsidR="007932B6" w:rsidRPr="007932B6" w:rsidRDefault="007932B6" w:rsidP="007932B6">
      <w:pPr>
        <w:jc w:val="both"/>
        <w:rPr>
          <w:rFonts w:ascii="Arial" w:hAnsi="Arial" w:cs="Arial"/>
          <w:sz w:val="20"/>
          <w:szCs w:val="20"/>
        </w:rPr>
      </w:pPr>
      <w:r>
        <w:rPr>
          <w:rFonts w:ascii="Arial" w:hAnsi="Arial" w:cs="Arial"/>
          <w:sz w:val="20"/>
          <w:szCs w:val="20"/>
        </w:rPr>
        <w:t xml:space="preserve">c. </w:t>
      </w:r>
      <w:r w:rsidR="009B558F" w:rsidRPr="007932B6">
        <w:rPr>
          <w:rFonts w:ascii="Arial" w:hAnsi="Arial" w:cs="Arial"/>
          <w:sz w:val="20"/>
          <w:szCs w:val="20"/>
        </w:rPr>
        <w:t>M</w:t>
      </w:r>
      <w:r w:rsidR="009B558F">
        <w:rPr>
          <w:rFonts w:ascii="Arial" w:hAnsi="Arial" w:cs="Arial"/>
          <w:sz w:val="20"/>
          <w:szCs w:val="20"/>
        </w:rPr>
        <w:t>icro simulación</w:t>
      </w:r>
      <w:r w:rsidR="009B558F" w:rsidRPr="007932B6">
        <w:rPr>
          <w:rFonts w:ascii="Arial" w:hAnsi="Arial" w:cs="Arial"/>
          <w:sz w:val="20"/>
          <w:szCs w:val="20"/>
        </w:rPr>
        <w:t xml:space="preserve"> </w:t>
      </w:r>
      <w:r w:rsidR="009B558F">
        <w:rPr>
          <w:rFonts w:ascii="Arial" w:hAnsi="Arial" w:cs="Arial"/>
          <w:sz w:val="20"/>
          <w:szCs w:val="20"/>
        </w:rPr>
        <w:t xml:space="preserve">de las alternativas de acuerdo con el transito proyectado, </w:t>
      </w:r>
      <w:r w:rsidR="009B558F" w:rsidRPr="009B558F">
        <w:rPr>
          <w:rFonts w:ascii="Arial" w:hAnsi="Arial" w:cs="Arial"/>
          <w:sz w:val="20"/>
          <w:szCs w:val="20"/>
        </w:rPr>
        <w:t xml:space="preserve">se recomienda la aplicación de herramientas </w:t>
      </w:r>
      <w:r w:rsidR="009B558F">
        <w:rPr>
          <w:rFonts w:ascii="Arial" w:hAnsi="Arial" w:cs="Arial"/>
          <w:sz w:val="20"/>
          <w:szCs w:val="20"/>
        </w:rPr>
        <w:t>como</w:t>
      </w:r>
      <w:r w:rsidR="009B558F" w:rsidRPr="009B558F">
        <w:rPr>
          <w:rFonts w:ascii="Arial" w:hAnsi="Arial" w:cs="Arial"/>
          <w:sz w:val="20"/>
          <w:szCs w:val="20"/>
        </w:rPr>
        <w:t xml:space="preserve"> PTV Vissim, Aimsun, Synchro u otros equivalentes) que permitan visualizar, validar y reforzar los análisis de capacidad y operación, especialmente en escenarios de largo plazo o en el estudio de configuraciones geométricas complejas y vías alternas propuestas. Los análisis deberán incluir indicadores de capacidad, demoras, colas, velocidades de operación, seguridad vial y eficiencia operativa</w:t>
      </w:r>
    </w:p>
    <w:p w14:paraId="51EB6E9D" w14:textId="41328046" w:rsidR="007932B6" w:rsidRPr="007932B6" w:rsidRDefault="007932B6" w:rsidP="007932B6">
      <w:pPr>
        <w:jc w:val="both"/>
        <w:rPr>
          <w:rFonts w:ascii="Arial" w:hAnsi="Arial" w:cs="Arial"/>
          <w:sz w:val="20"/>
          <w:szCs w:val="20"/>
        </w:rPr>
      </w:pPr>
      <w:r>
        <w:rPr>
          <w:rFonts w:ascii="Arial" w:hAnsi="Arial" w:cs="Arial"/>
          <w:sz w:val="20"/>
          <w:szCs w:val="20"/>
        </w:rPr>
        <w:t>d. Planos de</w:t>
      </w:r>
      <w:r w:rsidRPr="007932B6">
        <w:rPr>
          <w:rFonts w:ascii="Arial" w:hAnsi="Arial" w:cs="Arial"/>
          <w:sz w:val="20"/>
          <w:szCs w:val="20"/>
        </w:rPr>
        <w:t xml:space="preserve"> </w:t>
      </w:r>
      <w:r>
        <w:rPr>
          <w:rFonts w:ascii="Arial" w:hAnsi="Arial" w:cs="Arial"/>
          <w:sz w:val="20"/>
          <w:szCs w:val="20"/>
        </w:rPr>
        <w:t xml:space="preserve">diseño </w:t>
      </w:r>
      <w:r w:rsidRPr="007932B6">
        <w:rPr>
          <w:rFonts w:ascii="Arial" w:hAnsi="Arial" w:cs="Arial"/>
          <w:sz w:val="20"/>
          <w:szCs w:val="20"/>
        </w:rPr>
        <w:t>geométrico</w:t>
      </w:r>
      <w:r>
        <w:rPr>
          <w:rFonts w:ascii="Arial" w:hAnsi="Arial" w:cs="Arial"/>
          <w:sz w:val="20"/>
          <w:szCs w:val="20"/>
        </w:rPr>
        <w:t xml:space="preserve"> </w:t>
      </w:r>
      <w:r w:rsidR="009B558F">
        <w:rPr>
          <w:rFonts w:ascii="Arial" w:hAnsi="Arial" w:cs="Arial"/>
          <w:sz w:val="20"/>
          <w:szCs w:val="20"/>
        </w:rPr>
        <w:t xml:space="preserve">(planimetría) </w:t>
      </w:r>
      <w:r>
        <w:rPr>
          <w:rFonts w:ascii="Arial" w:hAnsi="Arial" w:cs="Arial"/>
          <w:sz w:val="20"/>
          <w:szCs w:val="20"/>
        </w:rPr>
        <w:t xml:space="preserve">de las alternativas seleccionadas, así como los planos de las alternativas </w:t>
      </w:r>
      <w:r w:rsidRPr="007932B6">
        <w:rPr>
          <w:rFonts w:ascii="Arial" w:hAnsi="Arial" w:cs="Arial"/>
          <w:sz w:val="20"/>
          <w:szCs w:val="20"/>
        </w:rPr>
        <w:t>operativ</w:t>
      </w:r>
      <w:r>
        <w:rPr>
          <w:rFonts w:ascii="Arial" w:hAnsi="Arial" w:cs="Arial"/>
          <w:sz w:val="20"/>
          <w:szCs w:val="20"/>
        </w:rPr>
        <w:t>a</w:t>
      </w:r>
      <w:r w:rsidRPr="007932B6">
        <w:rPr>
          <w:rFonts w:ascii="Arial" w:hAnsi="Arial" w:cs="Arial"/>
          <w:sz w:val="20"/>
          <w:szCs w:val="20"/>
        </w:rPr>
        <w:t>s a escala adecuada.</w:t>
      </w:r>
    </w:p>
    <w:p w14:paraId="4FFF4EEE" w14:textId="5A21C310" w:rsidR="007932B6" w:rsidRPr="007932B6" w:rsidRDefault="007932B6" w:rsidP="00DF04F0">
      <w:pPr>
        <w:jc w:val="both"/>
        <w:rPr>
          <w:rFonts w:ascii="Arial" w:hAnsi="Arial" w:cs="Arial"/>
          <w:sz w:val="20"/>
          <w:szCs w:val="20"/>
        </w:rPr>
      </w:pPr>
      <w:r>
        <w:rPr>
          <w:rFonts w:ascii="Arial" w:hAnsi="Arial" w:cs="Arial"/>
          <w:sz w:val="20"/>
          <w:szCs w:val="20"/>
        </w:rPr>
        <w:t xml:space="preserve">e. </w:t>
      </w:r>
      <w:r w:rsidRPr="007932B6">
        <w:rPr>
          <w:rFonts w:ascii="Arial" w:hAnsi="Arial" w:cs="Arial"/>
          <w:sz w:val="20"/>
          <w:szCs w:val="20"/>
        </w:rPr>
        <w:t>Cuadros comparativos de desempeño frente al escenario base</w:t>
      </w:r>
      <w:r w:rsidR="00DF04F0">
        <w:rPr>
          <w:rFonts w:ascii="Arial" w:hAnsi="Arial" w:cs="Arial"/>
          <w:sz w:val="20"/>
          <w:szCs w:val="20"/>
        </w:rPr>
        <w:t>, analizando t</w:t>
      </w:r>
      <w:r w:rsidR="00DF04F0" w:rsidRPr="00DF04F0">
        <w:rPr>
          <w:rFonts w:ascii="Arial" w:hAnsi="Arial" w:cs="Arial"/>
          <w:sz w:val="20"/>
          <w:szCs w:val="20"/>
        </w:rPr>
        <w:t>iempos de recorrido y demoras promedio</w:t>
      </w:r>
      <w:r w:rsidR="00800341">
        <w:rPr>
          <w:rFonts w:ascii="Arial" w:hAnsi="Arial" w:cs="Arial"/>
          <w:sz w:val="20"/>
          <w:szCs w:val="20"/>
        </w:rPr>
        <w:t xml:space="preserve">, </w:t>
      </w:r>
      <w:r w:rsidR="00DF04F0">
        <w:rPr>
          <w:rFonts w:ascii="Arial" w:hAnsi="Arial" w:cs="Arial"/>
          <w:sz w:val="20"/>
          <w:szCs w:val="20"/>
        </w:rPr>
        <w:t>v</w:t>
      </w:r>
      <w:r w:rsidR="00DF04F0" w:rsidRPr="00DF04F0">
        <w:rPr>
          <w:rFonts w:ascii="Arial" w:hAnsi="Arial" w:cs="Arial"/>
          <w:sz w:val="20"/>
          <w:szCs w:val="20"/>
        </w:rPr>
        <w:t>elocidades promedio en cada carril y por movimiento</w:t>
      </w:r>
      <w:r w:rsidR="00800341">
        <w:rPr>
          <w:rFonts w:ascii="Arial" w:hAnsi="Arial" w:cs="Arial"/>
          <w:sz w:val="20"/>
          <w:szCs w:val="20"/>
        </w:rPr>
        <w:t>,</w:t>
      </w:r>
      <w:r w:rsidR="00DF04F0">
        <w:rPr>
          <w:rFonts w:ascii="Arial" w:hAnsi="Arial" w:cs="Arial"/>
          <w:sz w:val="20"/>
          <w:szCs w:val="20"/>
        </w:rPr>
        <w:t xml:space="preserve"> c</w:t>
      </w:r>
      <w:r w:rsidR="00DF04F0" w:rsidRPr="00DF04F0">
        <w:rPr>
          <w:rFonts w:ascii="Arial" w:hAnsi="Arial" w:cs="Arial"/>
          <w:sz w:val="20"/>
          <w:szCs w:val="20"/>
        </w:rPr>
        <w:t>olas máximas proyectadas y niveles de servicio (LOS) por alternativa.</w:t>
      </w:r>
    </w:p>
    <w:p w14:paraId="1083EEC2" w14:textId="10596C97" w:rsidR="007932B6" w:rsidRPr="007932B6" w:rsidRDefault="007932B6" w:rsidP="007932B6">
      <w:pPr>
        <w:jc w:val="both"/>
        <w:rPr>
          <w:rFonts w:ascii="Arial" w:hAnsi="Arial" w:cs="Arial"/>
          <w:sz w:val="20"/>
          <w:szCs w:val="20"/>
        </w:rPr>
      </w:pPr>
      <w:r>
        <w:rPr>
          <w:rFonts w:ascii="Arial" w:hAnsi="Arial" w:cs="Arial"/>
          <w:sz w:val="20"/>
          <w:szCs w:val="20"/>
        </w:rPr>
        <w:t xml:space="preserve">f. </w:t>
      </w:r>
      <w:r w:rsidRPr="007932B6">
        <w:rPr>
          <w:rFonts w:ascii="Arial" w:hAnsi="Arial" w:cs="Arial"/>
          <w:sz w:val="20"/>
          <w:szCs w:val="20"/>
        </w:rPr>
        <w:t>Análisis técnico-económico que sustente la recomendación de la alternativa más eficiente y sostenible</w:t>
      </w:r>
      <w:r w:rsidR="00F87EC5">
        <w:rPr>
          <w:rFonts w:ascii="Arial" w:hAnsi="Arial" w:cs="Arial"/>
          <w:sz w:val="20"/>
          <w:szCs w:val="20"/>
        </w:rPr>
        <w:t xml:space="preserve">, teniendo en cuenta además la </w:t>
      </w:r>
      <w:r w:rsidR="00F87EC5" w:rsidRPr="00F87EC5">
        <w:rPr>
          <w:rFonts w:ascii="Arial" w:hAnsi="Arial" w:cs="Arial"/>
          <w:sz w:val="20"/>
          <w:szCs w:val="20"/>
        </w:rPr>
        <w:t xml:space="preserve">Identificación de </w:t>
      </w:r>
      <w:r w:rsidR="00F87EC5">
        <w:rPr>
          <w:rFonts w:ascii="Arial" w:hAnsi="Arial" w:cs="Arial"/>
          <w:sz w:val="20"/>
          <w:szCs w:val="20"/>
        </w:rPr>
        <w:t xml:space="preserve">las </w:t>
      </w:r>
      <w:r w:rsidR="00F87EC5" w:rsidRPr="00F87EC5">
        <w:rPr>
          <w:rFonts w:ascii="Arial" w:hAnsi="Arial" w:cs="Arial"/>
          <w:sz w:val="20"/>
          <w:szCs w:val="20"/>
        </w:rPr>
        <w:t>intervenciones que requieren estudios complementarios</w:t>
      </w:r>
      <w:r w:rsidR="00F87EC5">
        <w:rPr>
          <w:rFonts w:ascii="Arial" w:hAnsi="Arial" w:cs="Arial"/>
          <w:sz w:val="20"/>
          <w:szCs w:val="20"/>
        </w:rPr>
        <w:t xml:space="preserve"> de gran envergadura</w:t>
      </w:r>
      <w:r w:rsidR="00F87EC5" w:rsidRPr="00F87EC5">
        <w:rPr>
          <w:rFonts w:ascii="Arial" w:hAnsi="Arial" w:cs="Arial"/>
          <w:sz w:val="20"/>
          <w:szCs w:val="20"/>
        </w:rPr>
        <w:t xml:space="preserve"> (estructural, geotécnico, hidráulico</w:t>
      </w:r>
      <w:r w:rsidR="00F87EC5">
        <w:rPr>
          <w:rFonts w:ascii="Arial" w:hAnsi="Arial" w:cs="Arial"/>
          <w:sz w:val="20"/>
          <w:szCs w:val="20"/>
        </w:rPr>
        <w:t>, etc.</w:t>
      </w:r>
      <w:r w:rsidR="00F87EC5" w:rsidRPr="00F87EC5">
        <w:rPr>
          <w:rFonts w:ascii="Arial" w:hAnsi="Arial" w:cs="Arial"/>
          <w:sz w:val="20"/>
          <w:szCs w:val="20"/>
        </w:rPr>
        <w:t>).</w:t>
      </w:r>
    </w:p>
    <w:p w14:paraId="1F0FB87C" w14:textId="532BBDC4" w:rsidR="007932B6" w:rsidRPr="007932B6" w:rsidRDefault="007932B6" w:rsidP="007932B6">
      <w:pPr>
        <w:jc w:val="both"/>
        <w:rPr>
          <w:rFonts w:ascii="Arial" w:hAnsi="Arial" w:cs="Arial"/>
          <w:sz w:val="20"/>
          <w:szCs w:val="20"/>
        </w:rPr>
      </w:pPr>
      <w:r>
        <w:rPr>
          <w:rFonts w:ascii="Arial" w:hAnsi="Arial" w:cs="Arial"/>
          <w:sz w:val="20"/>
          <w:szCs w:val="20"/>
        </w:rPr>
        <w:t xml:space="preserve">g. </w:t>
      </w:r>
      <w:r w:rsidRPr="007932B6">
        <w:rPr>
          <w:rFonts w:ascii="Arial" w:hAnsi="Arial" w:cs="Arial"/>
          <w:sz w:val="20"/>
          <w:szCs w:val="20"/>
        </w:rPr>
        <w:t>Memoria de cálculo y modelación utilizada en los análisis.</w:t>
      </w:r>
    </w:p>
    <w:p w14:paraId="70028D8C" w14:textId="447FA20D" w:rsidR="007932B6" w:rsidRDefault="007932B6" w:rsidP="007932B6">
      <w:pPr>
        <w:jc w:val="both"/>
        <w:rPr>
          <w:rFonts w:ascii="Arial" w:hAnsi="Arial" w:cs="Arial"/>
          <w:sz w:val="20"/>
          <w:szCs w:val="20"/>
        </w:rPr>
      </w:pPr>
      <w:r w:rsidRPr="007932B6">
        <w:rPr>
          <w:rFonts w:ascii="Arial" w:hAnsi="Arial" w:cs="Arial"/>
          <w:sz w:val="20"/>
          <w:szCs w:val="20"/>
        </w:rPr>
        <w:t xml:space="preserve">Toda la información de soporte deberá presentarse en medio digital, organizada y estructurada para facilitar su revisión, acompañada de planos, esquemas y bases de datos en formato editable y </w:t>
      </w:r>
      <w:r w:rsidR="00E479BE">
        <w:rPr>
          <w:rFonts w:ascii="Arial" w:hAnsi="Arial" w:cs="Arial"/>
          <w:sz w:val="20"/>
          <w:szCs w:val="20"/>
        </w:rPr>
        <w:t>PDF.</w:t>
      </w:r>
    </w:p>
    <w:p w14:paraId="23068B2E" w14:textId="0BE846C2" w:rsidR="007932B6" w:rsidRPr="007932B6" w:rsidRDefault="007932B6" w:rsidP="007932B6">
      <w:pPr>
        <w:jc w:val="both"/>
        <w:rPr>
          <w:rFonts w:ascii="Arial" w:hAnsi="Arial" w:cs="Arial"/>
          <w:sz w:val="20"/>
          <w:szCs w:val="20"/>
        </w:rPr>
      </w:pPr>
      <w:r>
        <w:rPr>
          <w:rFonts w:ascii="Arial" w:hAnsi="Arial" w:cs="Arial"/>
          <w:sz w:val="20"/>
          <w:szCs w:val="20"/>
        </w:rPr>
        <w:t xml:space="preserve">3.2. </w:t>
      </w:r>
      <w:r w:rsidRPr="007932B6">
        <w:rPr>
          <w:rFonts w:ascii="Arial" w:hAnsi="Arial" w:cs="Arial"/>
          <w:sz w:val="20"/>
          <w:szCs w:val="20"/>
        </w:rPr>
        <w:t>Conclusiones</w:t>
      </w:r>
    </w:p>
    <w:p w14:paraId="65F701EA" w14:textId="45457BBE" w:rsidR="007932B6" w:rsidRPr="007932B6" w:rsidRDefault="007932B6" w:rsidP="007932B6">
      <w:pPr>
        <w:jc w:val="both"/>
        <w:rPr>
          <w:rFonts w:ascii="Arial" w:hAnsi="Arial" w:cs="Arial"/>
          <w:sz w:val="20"/>
          <w:szCs w:val="20"/>
        </w:rPr>
      </w:pPr>
      <w:r w:rsidRPr="007932B6">
        <w:rPr>
          <w:rFonts w:ascii="Arial" w:hAnsi="Arial" w:cs="Arial"/>
          <w:sz w:val="20"/>
          <w:szCs w:val="20"/>
        </w:rPr>
        <w:t>El estudio de alternativas permitirá identificar la solución técnica más conveniente para la intersección del Crucero de Combia, desde el punto de vista funcional, operativo, de seguridad vial y de eficiencia en el uso de los recursos públicos.</w:t>
      </w:r>
    </w:p>
    <w:p w14:paraId="3E074706" w14:textId="3D2D5C88" w:rsidR="007932B6" w:rsidRPr="00EE657A" w:rsidRDefault="007932B6" w:rsidP="007932B6">
      <w:pPr>
        <w:jc w:val="both"/>
        <w:rPr>
          <w:rFonts w:ascii="Arial" w:hAnsi="Arial" w:cs="Arial"/>
          <w:sz w:val="20"/>
          <w:szCs w:val="20"/>
        </w:rPr>
      </w:pPr>
      <w:r w:rsidRPr="007932B6">
        <w:rPr>
          <w:rFonts w:ascii="Arial" w:hAnsi="Arial" w:cs="Arial"/>
          <w:sz w:val="20"/>
          <w:szCs w:val="20"/>
        </w:rPr>
        <w:t>Los resultados obtenidos servirán como base técnica para la selección de la alternativa definitiva y el desarrollo del diseño geométrico</w:t>
      </w:r>
      <w:r>
        <w:rPr>
          <w:rFonts w:ascii="Arial" w:hAnsi="Arial" w:cs="Arial"/>
          <w:sz w:val="20"/>
          <w:szCs w:val="20"/>
        </w:rPr>
        <w:t xml:space="preserve"> a detalle</w:t>
      </w:r>
      <w:r w:rsidRPr="007932B6">
        <w:rPr>
          <w:rFonts w:ascii="Arial" w:hAnsi="Arial" w:cs="Arial"/>
          <w:sz w:val="20"/>
          <w:szCs w:val="20"/>
        </w:rPr>
        <w:t xml:space="preserve"> y demás componentes posteriores del proyecto.</w:t>
      </w:r>
    </w:p>
    <w:sectPr w:rsidR="007932B6" w:rsidRPr="00EE657A">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1F3E9" w14:textId="77777777" w:rsidR="00ED09D9" w:rsidRDefault="00ED09D9" w:rsidP="00EE657A">
      <w:pPr>
        <w:spacing w:after="0" w:line="240" w:lineRule="auto"/>
      </w:pPr>
      <w:r>
        <w:separator/>
      </w:r>
    </w:p>
  </w:endnote>
  <w:endnote w:type="continuationSeparator" w:id="0">
    <w:p w14:paraId="75B50130" w14:textId="77777777" w:rsidR="00ED09D9" w:rsidRDefault="00ED09D9" w:rsidP="00EE65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A3149" w14:textId="77777777" w:rsidR="00ED09D9" w:rsidRDefault="00ED09D9" w:rsidP="00EE657A">
      <w:pPr>
        <w:spacing w:after="0" w:line="240" w:lineRule="auto"/>
      </w:pPr>
      <w:r>
        <w:separator/>
      </w:r>
    </w:p>
  </w:footnote>
  <w:footnote w:type="continuationSeparator" w:id="0">
    <w:p w14:paraId="050EFD03" w14:textId="77777777" w:rsidR="00ED09D9" w:rsidRDefault="00ED09D9" w:rsidP="00EE65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695DF" w14:textId="77777777" w:rsidR="00EE657A" w:rsidRPr="00EE657A" w:rsidRDefault="00EE657A" w:rsidP="00EE657A">
    <w:pPr>
      <w:tabs>
        <w:tab w:val="center" w:pos="4252"/>
        <w:tab w:val="right" w:pos="8504"/>
      </w:tabs>
      <w:spacing w:after="0" w:line="240" w:lineRule="auto"/>
      <w:jc w:val="right"/>
      <w:rPr>
        <w:rFonts w:ascii="Arial" w:eastAsia="Arial" w:hAnsi="Arial" w:cs="Arial"/>
        <w:b/>
        <w:kern w:val="0"/>
        <w:sz w:val="20"/>
        <w:szCs w:val="20"/>
        <w:lang w:val="es-ES" w:eastAsia="es-ES"/>
        <w14:ligatures w14:val="none"/>
      </w:rPr>
    </w:pPr>
    <w:r w:rsidRPr="00EE657A">
      <w:rPr>
        <w:rFonts w:ascii="Times New Roman" w:eastAsia="Times New Roman" w:hAnsi="Times New Roman" w:cs="Times New Roman"/>
        <w:noProof/>
        <w:kern w:val="0"/>
        <w:sz w:val="20"/>
        <w:szCs w:val="20"/>
        <w:lang w:val="en-US"/>
        <w14:ligatures w14:val="none"/>
      </w:rPr>
      <w:drawing>
        <wp:anchor distT="0" distB="0" distL="114300" distR="114300" simplePos="0" relativeHeight="251659264" behindDoc="0" locked="0" layoutInCell="1" hidden="0" allowOverlap="1" wp14:anchorId="4EA6C699" wp14:editId="6F1DC228">
          <wp:simplePos x="0" y="0"/>
          <wp:positionH relativeFrom="column">
            <wp:posOffset>-148589</wp:posOffset>
          </wp:positionH>
          <wp:positionV relativeFrom="paragraph">
            <wp:posOffset>-53340</wp:posOffset>
          </wp:positionV>
          <wp:extent cx="1676400" cy="563880"/>
          <wp:effectExtent l="0" t="0" r="0" b="0"/>
          <wp:wrapNone/>
          <wp:docPr id="1612590897" name="image1.png" descr="Imagen que contiene 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png" descr="Imagen que contiene Logotipo&#10;&#10;Descripción generada automáticamente"/>
                  <pic:cNvPicPr preferRelativeResize="0"/>
                </pic:nvPicPr>
                <pic:blipFill>
                  <a:blip r:embed="rId1"/>
                  <a:srcRect/>
                  <a:stretch>
                    <a:fillRect/>
                  </a:stretch>
                </pic:blipFill>
                <pic:spPr>
                  <a:xfrm>
                    <a:off x="0" y="0"/>
                    <a:ext cx="1676400" cy="563880"/>
                  </a:xfrm>
                  <a:prstGeom prst="rect">
                    <a:avLst/>
                  </a:prstGeom>
                  <a:ln/>
                </pic:spPr>
              </pic:pic>
            </a:graphicData>
          </a:graphic>
          <wp14:sizeRelH relativeFrom="margin">
            <wp14:pctWidth>0</wp14:pctWidth>
          </wp14:sizeRelH>
          <wp14:sizeRelV relativeFrom="margin">
            <wp14:pctHeight>0</wp14:pctHeight>
          </wp14:sizeRelV>
        </wp:anchor>
      </w:drawing>
    </w:r>
    <w:r w:rsidRPr="00EE657A">
      <w:rPr>
        <w:rFonts w:ascii="Arial" w:eastAsia="Arial" w:hAnsi="Arial" w:cs="Arial"/>
        <w:b/>
        <w:kern w:val="0"/>
        <w:sz w:val="20"/>
        <w:szCs w:val="20"/>
        <w:lang w:val="es-ES" w:eastAsia="es-ES"/>
        <w14:ligatures w14:val="none"/>
      </w:rPr>
      <w:t>ANEXO 01 ORDEN DE SERVICIO No. 4</w:t>
    </w:r>
    <w:r w:rsidRPr="00EE657A">
      <w:rPr>
        <w:rFonts w:ascii="Times New Roman" w:eastAsia="Times New Roman" w:hAnsi="Times New Roman" w:cs="Times New Roman"/>
        <w:noProof/>
        <w:kern w:val="0"/>
        <w:sz w:val="20"/>
        <w:szCs w:val="20"/>
        <w:lang w:eastAsia="es-CO"/>
        <w14:ligatures w14:val="none"/>
      </w:rPr>
      <w:t xml:space="preserve"> </w:t>
    </w:r>
  </w:p>
  <w:p w14:paraId="0AC06B8D" w14:textId="77777777" w:rsidR="00EE657A" w:rsidRPr="00EE657A" w:rsidRDefault="00EE657A" w:rsidP="00EE657A">
    <w:pPr>
      <w:tabs>
        <w:tab w:val="center" w:pos="4252"/>
        <w:tab w:val="right" w:pos="8504"/>
      </w:tabs>
      <w:spacing w:after="0" w:line="240" w:lineRule="auto"/>
      <w:jc w:val="right"/>
      <w:rPr>
        <w:rFonts w:ascii="Arial" w:eastAsia="Arial" w:hAnsi="Arial" w:cs="Arial"/>
        <w:b/>
        <w:kern w:val="0"/>
        <w:sz w:val="20"/>
        <w:szCs w:val="20"/>
        <w:lang w:val="es-ES" w:eastAsia="es-ES"/>
        <w14:ligatures w14:val="none"/>
      </w:rPr>
    </w:pPr>
    <w:r w:rsidRPr="00EE657A">
      <w:rPr>
        <w:rFonts w:ascii="Arial" w:eastAsia="Arial" w:hAnsi="Arial" w:cs="Arial"/>
        <w:b/>
        <w:kern w:val="0"/>
        <w:sz w:val="20"/>
        <w:szCs w:val="20"/>
        <w:lang w:val="es-ES" w:eastAsia="es-ES"/>
        <w14:ligatures w14:val="none"/>
      </w:rPr>
      <w:t>FABRICA DE DISEÑOS</w:t>
    </w:r>
  </w:p>
  <w:p w14:paraId="12EAA41E" w14:textId="77777777" w:rsidR="00EE657A" w:rsidRPr="00EE657A" w:rsidRDefault="00EE657A" w:rsidP="00EE657A">
    <w:pPr>
      <w:pBdr>
        <w:top w:val="nil"/>
        <w:left w:val="nil"/>
        <w:bottom w:val="nil"/>
        <w:right w:val="nil"/>
        <w:between w:val="nil"/>
      </w:pBdr>
      <w:tabs>
        <w:tab w:val="center" w:pos="4419"/>
        <w:tab w:val="right" w:pos="8838"/>
      </w:tabs>
      <w:spacing w:after="0" w:line="240" w:lineRule="auto"/>
      <w:jc w:val="right"/>
      <w:rPr>
        <w:rFonts w:ascii="Arial" w:eastAsia="Arial" w:hAnsi="Arial" w:cs="Arial"/>
        <w:color w:val="000000"/>
        <w:kern w:val="0"/>
        <w:sz w:val="20"/>
        <w:szCs w:val="20"/>
        <w:lang w:val="es-ES" w:eastAsia="es-ES"/>
        <w14:ligatures w14:val="none"/>
      </w:rPr>
    </w:pPr>
    <w:r w:rsidRPr="00EE657A">
      <w:rPr>
        <w:rFonts w:ascii="Arial" w:eastAsia="Arial" w:hAnsi="Arial" w:cs="Arial"/>
        <w:b/>
        <w:color w:val="000000"/>
        <w:kern w:val="0"/>
        <w:sz w:val="20"/>
        <w:szCs w:val="20"/>
        <w:lang w:val="es-ES" w:eastAsia="es-ES"/>
        <w14:ligatures w14:val="none"/>
      </w:rPr>
      <w:t>CONTRATO 3514 DE 202</w:t>
    </w:r>
    <w:r w:rsidRPr="00EE657A">
      <w:rPr>
        <w:rFonts w:ascii="Times New Roman" w:eastAsia="Times New Roman" w:hAnsi="Times New Roman" w:cs="Times New Roman"/>
        <w:noProof/>
        <w:kern w:val="0"/>
        <w:sz w:val="20"/>
        <w:szCs w:val="20"/>
        <w:lang w:val="en-US"/>
        <w14:ligatures w14:val="none"/>
      </w:rPr>
      <mc:AlternateContent>
        <mc:Choice Requires="wps">
          <w:drawing>
            <wp:anchor distT="4294967289" distB="4294967289" distL="114300" distR="114300" simplePos="0" relativeHeight="251660288" behindDoc="0" locked="0" layoutInCell="1" hidden="0" allowOverlap="1" wp14:anchorId="63AE6BEB" wp14:editId="356F0C16">
              <wp:simplePos x="0" y="0"/>
              <wp:positionH relativeFrom="column">
                <wp:posOffset>-507999</wp:posOffset>
              </wp:positionH>
              <wp:positionV relativeFrom="paragraph">
                <wp:posOffset>30490</wp:posOffset>
              </wp:positionV>
              <wp:extent cx="0" cy="38100"/>
              <wp:effectExtent l="0" t="0" r="0" b="0"/>
              <wp:wrapNone/>
              <wp:docPr id="1612590894" name="Conector recto de flecha 1612590894"/>
              <wp:cNvGraphicFramePr/>
              <a:graphic xmlns:a="http://schemas.openxmlformats.org/drawingml/2006/main">
                <a:graphicData uri="http://schemas.microsoft.com/office/word/2010/wordprocessingShape">
                  <wps:wsp>
                    <wps:cNvCnPr/>
                    <wps:spPr>
                      <a:xfrm>
                        <a:off x="1904935" y="3780000"/>
                        <a:ext cx="6882130" cy="0"/>
                      </a:xfrm>
                      <a:prstGeom prst="straightConnector1">
                        <a:avLst/>
                      </a:prstGeom>
                      <a:noFill/>
                      <a:ln w="38100" cap="flat" cmpd="sng">
                        <a:solidFill>
                          <a:srgbClr val="C00000"/>
                        </a:solidFill>
                        <a:prstDash val="solid"/>
                        <a:round/>
                        <a:headEnd type="none" w="med" len="med"/>
                        <a:tailEnd type="none" w="med" len="med"/>
                      </a:ln>
                      <a:effectLst>
                        <a:outerShdw blurRad="63500" dist="23000" dir="5400000" rotWithShape="0">
                          <a:srgbClr val="000000">
                            <a:alpha val="34901"/>
                          </a:srgbClr>
                        </a:outerShdw>
                      </a:effectLst>
                    </wps:spPr>
                    <wps:bodyPr/>
                  </wps:wsp>
                </a:graphicData>
              </a:graphic>
            </wp:anchor>
          </w:drawing>
        </mc:Choice>
        <mc:Fallback>
          <w:pict>
            <v:shapetype w14:anchorId="4A835C18" id="_x0000_t32" coordsize="21600,21600" o:spt="32" o:oned="t" path="m,l21600,21600e" filled="f">
              <v:path arrowok="t" fillok="f" o:connecttype="none"/>
              <o:lock v:ext="edit" shapetype="t"/>
            </v:shapetype>
            <v:shape id="Conector recto de flecha 1612590894" o:spid="_x0000_s1026" type="#_x0000_t32" style="position:absolute;margin-left:-40pt;margin-top:2.4pt;width:0;height:3pt;z-index:251660288;visibility:visible;mso-wrap-style:square;mso-wrap-distance-left:9pt;mso-wrap-distance-top:-19e-5mm;mso-wrap-distance-right:9pt;mso-wrap-distance-bottom:-19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" strokecolor="#c00000" strokeweight="3pt">
              <v:shadow on="t" color="black" opacity="22872f" origin=",.5" offset="0,.63889mm"/>
            </v:shape>
          </w:pict>
        </mc:Fallback>
      </mc:AlternateContent>
    </w:r>
    <w:r w:rsidRPr="00EE657A">
      <w:rPr>
        <w:rFonts w:ascii="Times New Roman" w:eastAsia="Times New Roman" w:hAnsi="Times New Roman" w:cs="Times New Roman"/>
        <w:noProof/>
        <w:kern w:val="0"/>
        <w:sz w:val="20"/>
        <w:szCs w:val="20"/>
        <w:lang w:val="en-US"/>
        <w14:ligatures w14:val="none"/>
      </w:rPr>
      <w:drawing>
        <wp:anchor distT="0" distB="0" distL="0" distR="0" simplePos="0" relativeHeight="251661312" behindDoc="1" locked="0" layoutInCell="1" hidden="0" allowOverlap="1" wp14:anchorId="002F692F" wp14:editId="452DFA3C">
          <wp:simplePos x="0" y="0"/>
          <wp:positionH relativeFrom="column">
            <wp:align>center</wp:align>
          </wp:positionH>
          <wp:positionV relativeFrom="page">
            <wp:align>center</wp:align>
          </wp:positionV>
          <wp:extent cx="5594400" cy="6040800"/>
          <wp:effectExtent l="0" t="0" r="0" b="0"/>
          <wp:wrapNone/>
          <wp:docPr id="1612590898" name="image2.png" descr="Logotipo&#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1612590898" name="image2.png" descr="Logotipo&#10;&#10;El contenido generado por IA puede ser incorrecto."/>
                  <pic:cNvPicPr preferRelativeResize="0"/>
                </pic:nvPicPr>
                <pic:blipFill rotWithShape="1">
                  <a:blip r:embed="rId2">
                    <a:alphaModFix amt="40000"/>
                  </a:blip>
                  <a:srcRect l="2739" t="5084" r="7432" b="3076"/>
                  <a:stretch/>
                </pic:blipFill>
                <pic:spPr bwMode="auto">
                  <a:xfrm>
                    <a:off x="0" y="0"/>
                    <a:ext cx="5594400" cy="6040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EE657A">
      <w:rPr>
        <w:rFonts w:ascii="Arial" w:eastAsia="Arial" w:hAnsi="Arial" w:cs="Arial"/>
        <w:b/>
        <w:color w:val="000000"/>
        <w:kern w:val="0"/>
        <w:sz w:val="20"/>
        <w:szCs w:val="20"/>
        <w:lang w:val="es-ES" w:eastAsia="es-ES"/>
        <w14:ligatures w14:val="none"/>
      </w:rPr>
      <w:t>5</w:t>
    </w:r>
  </w:p>
  <w:p w14:paraId="0CD45112" w14:textId="213AF85C" w:rsidR="00EE657A" w:rsidRDefault="00EE657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90065"/>
    <w:multiLevelType w:val="hybridMultilevel"/>
    <w:tmpl w:val="11F8A12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1EB44A4"/>
    <w:multiLevelType w:val="hybridMultilevel"/>
    <w:tmpl w:val="D8D031C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41E00A2"/>
    <w:multiLevelType w:val="hybridMultilevel"/>
    <w:tmpl w:val="EEAE3B5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7C56ED0"/>
    <w:multiLevelType w:val="hybridMultilevel"/>
    <w:tmpl w:val="AB7AD8E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02926074">
    <w:abstractNumId w:val="0"/>
  </w:num>
  <w:num w:numId="2" w16cid:durableId="1519852140">
    <w:abstractNumId w:val="3"/>
  </w:num>
  <w:num w:numId="3" w16cid:durableId="1935894747">
    <w:abstractNumId w:val="2"/>
  </w:num>
  <w:num w:numId="4" w16cid:durableId="6074649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57A"/>
    <w:rsid w:val="00020C1A"/>
    <w:rsid w:val="0002146D"/>
    <w:rsid w:val="001174D9"/>
    <w:rsid w:val="00137A3F"/>
    <w:rsid w:val="001A4A43"/>
    <w:rsid w:val="001C3AE3"/>
    <w:rsid w:val="00211862"/>
    <w:rsid w:val="00251B69"/>
    <w:rsid w:val="002C55AA"/>
    <w:rsid w:val="002D549D"/>
    <w:rsid w:val="00307344"/>
    <w:rsid w:val="003164E8"/>
    <w:rsid w:val="00361050"/>
    <w:rsid w:val="0037792E"/>
    <w:rsid w:val="00397DAA"/>
    <w:rsid w:val="003F4C78"/>
    <w:rsid w:val="00401320"/>
    <w:rsid w:val="00454141"/>
    <w:rsid w:val="004B2A86"/>
    <w:rsid w:val="004D7AFE"/>
    <w:rsid w:val="0051457D"/>
    <w:rsid w:val="00616CC2"/>
    <w:rsid w:val="00645B54"/>
    <w:rsid w:val="00660BEE"/>
    <w:rsid w:val="006C19FC"/>
    <w:rsid w:val="006D4D10"/>
    <w:rsid w:val="007244DF"/>
    <w:rsid w:val="00785715"/>
    <w:rsid w:val="007932B6"/>
    <w:rsid w:val="007E1C61"/>
    <w:rsid w:val="00800341"/>
    <w:rsid w:val="00837A40"/>
    <w:rsid w:val="00840796"/>
    <w:rsid w:val="0084768A"/>
    <w:rsid w:val="00857C3D"/>
    <w:rsid w:val="00922C1C"/>
    <w:rsid w:val="00956409"/>
    <w:rsid w:val="009B558F"/>
    <w:rsid w:val="00A23AC2"/>
    <w:rsid w:val="00A55287"/>
    <w:rsid w:val="00AC4DE2"/>
    <w:rsid w:val="00AD3AF3"/>
    <w:rsid w:val="00AE0949"/>
    <w:rsid w:val="00AE2E34"/>
    <w:rsid w:val="00B047F7"/>
    <w:rsid w:val="00B647C9"/>
    <w:rsid w:val="00BD4260"/>
    <w:rsid w:val="00BD5EA0"/>
    <w:rsid w:val="00CB0711"/>
    <w:rsid w:val="00CB0E06"/>
    <w:rsid w:val="00CC34C2"/>
    <w:rsid w:val="00D215CF"/>
    <w:rsid w:val="00D429F2"/>
    <w:rsid w:val="00D53162"/>
    <w:rsid w:val="00D53477"/>
    <w:rsid w:val="00DD704A"/>
    <w:rsid w:val="00DF04F0"/>
    <w:rsid w:val="00E479BE"/>
    <w:rsid w:val="00E57E07"/>
    <w:rsid w:val="00E86FE0"/>
    <w:rsid w:val="00EB527B"/>
    <w:rsid w:val="00EC7CF9"/>
    <w:rsid w:val="00ED09D9"/>
    <w:rsid w:val="00EE657A"/>
    <w:rsid w:val="00F31CE3"/>
    <w:rsid w:val="00F62B85"/>
    <w:rsid w:val="00F75CFD"/>
    <w:rsid w:val="00F7759C"/>
    <w:rsid w:val="00F87EC5"/>
    <w:rsid w:val="00F93472"/>
    <w:rsid w:val="00FA5E7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5DB391"/>
  <w15:chartTrackingRefBased/>
  <w15:docId w15:val="{78567B10-DF4B-4A13-B3BB-E6064DA86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EE65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EE65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EE657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E657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E657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E657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E657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E657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E657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E657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EE657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EE657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E657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E657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E657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E657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E657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E657A"/>
    <w:rPr>
      <w:rFonts w:eastAsiaTheme="majorEastAsia" w:cstheme="majorBidi"/>
      <w:color w:val="272727" w:themeColor="text1" w:themeTint="D8"/>
    </w:rPr>
  </w:style>
  <w:style w:type="paragraph" w:styleId="Ttulo">
    <w:name w:val="Title"/>
    <w:basedOn w:val="Normal"/>
    <w:next w:val="Normal"/>
    <w:link w:val="TtuloCar"/>
    <w:uiPriority w:val="10"/>
    <w:qFormat/>
    <w:rsid w:val="00EE65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E657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E657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E657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E657A"/>
    <w:pPr>
      <w:spacing w:before="160"/>
      <w:jc w:val="center"/>
    </w:pPr>
    <w:rPr>
      <w:i/>
      <w:iCs/>
      <w:color w:val="404040" w:themeColor="text1" w:themeTint="BF"/>
    </w:rPr>
  </w:style>
  <w:style w:type="character" w:customStyle="1" w:styleId="CitaCar">
    <w:name w:val="Cita Car"/>
    <w:basedOn w:val="Fuentedeprrafopredeter"/>
    <w:link w:val="Cita"/>
    <w:uiPriority w:val="29"/>
    <w:rsid w:val="00EE657A"/>
    <w:rPr>
      <w:i/>
      <w:iCs/>
      <w:color w:val="404040" w:themeColor="text1" w:themeTint="BF"/>
    </w:rPr>
  </w:style>
  <w:style w:type="paragraph" w:styleId="Prrafodelista">
    <w:name w:val="List Paragraph"/>
    <w:basedOn w:val="Normal"/>
    <w:uiPriority w:val="34"/>
    <w:qFormat/>
    <w:rsid w:val="00EE657A"/>
    <w:pPr>
      <w:ind w:left="720"/>
      <w:contextualSpacing/>
    </w:pPr>
  </w:style>
  <w:style w:type="character" w:styleId="nfasisintenso">
    <w:name w:val="Intense Emphasis"/>
    <w:basedOn w:val="Fuentedeprrafopredeter"/>
    <w:uiPriority w:val="21"/>
    <w:qFormat/>
    <w:rsid w:val="00EE657A"/>
    <w:rPr>
      <w:i/>
      <w:iCs/>
      <w:color w:val="0F4761" w:themeColor="accent1" w:themeShade="BF"/>
    </w:rPr>
  </w:style>
  <w:style w:type="paragraph" w:styleId="Citadestacada">
    <w:name w:val="Intense Quote"/>
    <w:basedOn w:val="Normal"/>
    <w:next w:val="Normal"/>
    <w:link w:val="CitadestacadaCar"/>
    <w:uiPriority w:val="30"/>
    <w:qFormat/>
    <w:rsid w:val="00EE65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E657A"/>
    <w:rPr>
      <w:i/>
      <w:iCs/>
      <w:color w:val="0F4761" w:themeColor="accent1" w:themeShade="BF"/>
    </w:rPr>
  </w:style>
  <w:style w:type="character" w:styleId="Referenciaintensa">
    <w:name w:val="Intense Reference"/>
    <w:basedOn w:val="Fuentedeprrafopredeter"/>
    <w:uiPriority w:val="32"/>
    <w:qFormat/>
    <w:rsid w:val="00EE657A"/>
    <w:rPr>
      <w:b/>
      <w:bCs/>
      <w:smallCaps/>
      <w:color w:val="0F4761" w:themeColor="accent1" w:themeShade="BF"/>
      <w:spacing w:val="5"/>
    </w:rPr>
  </w:style>
  <w:style w:type="paragraph" w:styleId="Encabezado">
    <w:name w:val="header"/>
    <w:basedOn w:val="Normal"/>
    <w:link w:val="EncabezadoCar"/>
    <w:uiPriority w:val="99"/>
    <w:unhideWhenUsed/>
    <w:rsid w:val="00EE657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E657A"/>
  </w:style>
  <w:style w:type="paragraph" w:styleId="Piedepgina">
    <w:name w:val="footer"/>
    <w:basedOn w:val="Normal"/>
    <w:link w:val="PiedepginaCar"/>
    <w:uiPriority w:val="99"/>
    <w:unhideWhenUsed/>
    <w:rsid w:val="00EE657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E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5</Pages>
  <Words>2702</Words>
  <Characters>14863</Characters>
  <Application>Microsoft Office Word</Application>
  <DocSecurity>0</DocSecurity>
  <Lines>123</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AGUDELO OROZCO</dc:creator>
  <cp:keywords/>
  <dc:description/>
  <cp:lastModifiedBy>NATALIA  AGUDELO OROZCO</cp:lastModifiedBy>
  <cp:revision>7</cp:revision>
  <dcterms:created xsi:type="dcterms:W3CDTF">2025-11-06T23:06:00Z</dcterms:created>
  <dcterms:modified xsi:type="dcterms:W3CDTF">2025-11-07T14:05:00Z</dcterms:modified>
</cp:coreProperties>
</file>